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7FD3" w:rsidRDefault="00877FD3" w:rsidP="00C9159B"/>
    <w:p w:rsidR="00877FD3" w:rsidRDefault="00877FD3" w:rsidP="00C9159B">
      <w:pPr>
        <w:widowControl w:val="0"/>
        <w:autoSpaceDE w:val="0"/>
        <w:autoSpaceDN w:val="0"/>
        <w:adjustRightInd w:val="0"/>
        <w:jc w:val="center"/>
        <w:rPr>
          <w:rFonts w:cs="Arial"/>
          <w:b/>
          <w:bCs/>
          <w:sz w:val="28"/>
          <w:szCs w:val="28"/>
        </w:rPr>
      </w:pPr>
      <w:r w:rsidRPr="006C4B3E">
        <w:rPr>
          <w:rFonts w:cs="Arial"/>
          <w:b/>
          <w:bCs/>
          <w:sz w:val="28"/>
          <w:szCs w:val="28"/>
        </w:rPr>
        <w:t xml:space="preserve">Laboratory Information </w:t>
      </w:r>
      <w:r>
        <w:rPr>
          <w:rFonts w:cs="Arial"/>
          <w:b/>
          <w:bCs/>
          <w:sz w:val="28"/>
          <w:szCs w:val="28"/>
        </w:rPr>
        <w:t xml:space="preserve">Network Cymru </w:t>
      </w:r>
      <w:r w:rsidRPr="006C4B3E">
        <w:rPr>
          <w:rFonts w:cs="Arial"/>
          <w:b/>
          <w:bCs/>
          <w:sz w:val="28"/>
          <w:szCs w:val="28"/>
        </w:rPr>
        <w:t>Programme</w:t>
      </w:r>
    </w:p>
    <w:p w:rsidR="009D2938" w:rsidRPr="009D2938" w:rsidRDefault="009F59C5" w:rsidP="00C9159B">
      <w:pPr>
        <w:widowControl w:val="0"/>
        <w:autoSpaceDE w:val="0"/>
        <w:autoSpaceDN w:val="0"/>
        <w:adjustRightInd w:val="0"/>
        <w:jc w:val="center"/>
        <w:rPr>
          <w:rFonts w:cs="Arial"/>
          <w:b/>
          <w:bCs/>
          <w:sz w:val="28"/>
          <w:szCs w:val="28"/>
        </w:rPr>
      </w:pPr>
      <w:r>
        <w:rPr>
          <w:rFonts w:cs="Arial"/>
          <w:b/>
          <w:bCs/>
          <w:sz w:val="28"/>
          <w:szCs w:val="28"/>
        </w:rPr>
        <w:t>(LINC)</w:t>
      </w:r>
    </w:p>
    <w:p w:rsidR="009F59C5" w:rsidRDefault="009F59C5" w:rsidP="00C9159B">
      <w:pPr>
        <w:jc w:val="center"/>
        <w:rPr>
          <w:rFonts w:cs="Arial"/>
          <w:b/>
          <w:noProof/>
          <w:sz w:val="28"/>
          <w:szCs w:val="28"/>
        </w:rPr>
      </w:pPr>
    </w:p>
    <w:p w:rsidR="00877FD3" w:rsidRDefault="001563A2" w:rsidP="00C9159B">
      <w:pPr>
        <w:jc w:val="center"/>
        <w:rPr>
          <w:rFonts w:cs="Arial"/>
          <w:b/>
          <w:noProof/>
          <w:sz w:val="28"/>
          <w:szCs w:val="28"/>
        </w:rPr>
      </w:pPr>
      <w:r>
        <w:rPr>
          <w:rFonts w:cs="Arial"/>
          <w:b/>
          <w:noProof/>
          <w:sz w:val="28"/>
          <w:szCs w:val="28"/>
        </w:rPr>
        <w:t xml:space="preserve">Risk </w:t>
      </w:r>
      <w:r w:rsidR="00D17805">
        <w:rPr>
          <w:rFonts w:cs="Arial"/>
          <w:b/>
          <w:noProof/>
          <w:sz w:val="28"/>
          <w:szCs w:val="28"/>
        </w:rPr>
        <w:t>and</w:t>
      </w:r>
      <w:r>
        <w:rPr>
          <w:rFonts w:cs="Arial"/>
          <w:b/>
          <w:noProof/>
          <w:sz w:val="28"/>
          <w:szCs w:val="28"/>
        </w:rPr>
        <w:t xml:space="preserve"> Issue </w:t>
      </w:r>
      <w:r w:rsidR="00D17805">
        <w:rPr>
          <w:rFonts w:cs="Arial"/>
          <w:b/>
          <w:noProof/>
          <w:sz w:val="28"/>
          <w:szCs w:val="28"/>
        </w:rPr>
        <w:t xml:space="preserve">Management </w:t>
      </w:r>
      <w:r>
        <w:rPr>
          <w:rFonts w:cs="Arial"/>
          <w:b/>
          <w:noProof/>
          <w:sz w:val="28"/>
          <w:szCs w:val="28"/>
        </w:rPr>
        <w:t>Strategy</w:t>
      </w:r>
      <w:r w:rsidR="006A6047">
        <w:rPr>
          <w:rFonts w:cs="Arial"/>
          <w:b/>
          <w:noProof/>
          <w:sz w:val="28"/>
          <w:szCs w:val="28"/>
        </w:rPr>
        <w:t xml:space="preserve"> </w:t>
      </w:r>
      <w:bookmarkStart w:id="0" w:name="_GoBack"/>
      <w:bookmarkEnd w:id="0"/>
    </w:p>
    <w:p w:rsidR="00877FD3" w:rsidRDefault="00877FD3" w:rsidP="00C9159B">
      <w:pPr>
        <w:rPr>
          <w:rFonts w:cs="Arial"/>
          <w:b/>
          <w:noProof/>
          <w:sz w:val="28"/>
          <w:szCs w:val="28"/>
        </w:rPr>
      </w:pPr>
    </w:p>
    <w:p w:rsidR="009D2938" w:rsidRDefault="009D2938" w:rsidP="00C9159B">
      <w:pPr>
        <w:rPr>
          <w:rFonts w:cs="Arial"/>
          <w:b/>
          <w:noProof/>
          <w:sz w:val="28"/>
          <w:szCs w:val="28"/>
        </w:rPr>
      </w:pPr>
    </w:p>
    <w:p w:rsidR="003A4817" w:rsidRDefault="006A6047" w:rsidP="00C9159B">
      <w:pPr>
        <w:jc w:val="center"/>
        <w:rPr>
          <w:rFonts w:cs="Arial"/>
          <w:b/>
          <w:noProof/>
          <w:sz w:val="28"/>
          <w:szCs w:val="28"/>
        </w:rPr>
      </w:pPr>
      <w:r>
        <w:rPr>
          <w:rFonts w:cs="Arial"/>
          <w:b/>
          <w:noProof/>
          <w:sz w:val="28"/>
          <w:szCs w:val="28"/>
          <w:lang w:eastAsia="en-GB"/>
        </w:rPr>
        <w:drawing>
          <wp:inline distT="0" distB="0" distL="0" distR="0" wp14:anchorId="2D834B00" wp14:editId="20E11698">
            <wp:extent cx="5731510" cy="3876675"/>
            <wp:effectExtent l="0" t="0" r="254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ord Art 1.jpeg"/>
                    <pic:cNvPicPr/>
                  </pic:nvPicPr>
                  <pic:blipFill>
                    <a:blip r:embed="rId8">
                      <a:extLst>
                        <a:ext uri="{28A0092B-C50C-407E-A947-70E740481C1C}">
                          <a14:useLocalDpi xmlns:a14="http://schemas.microsoft.com/office/drawing/2010/main" val="0"/>
                        </a:ext>
                      </a:extLst>
                    </a:blip>
                    <a:stretch>
                      <a:fillRect/>
                    </a:stretch>
                  </pic:blipFill>
                  <pic:spPr>
                    <a:xfrm>
                      <a:off x="0" y="0"/>
                      <a:ext cx="5731510" cy="3876675"/>
                    </a:xfrm>
                    <a:prstGeom prst="rect">
                      <a:avLst/>
                    </a:prstGeom>
                  </pic:spPr>
                </pic:pic>
              </a:graphicData>
            </a:graphic>
          </wp:inline>
        </w:drawing>
      </w:r>
    </w:p>
    <w:p w:rsidR="009D2938" w:rsidRDefault="009D2938" w:rsidP="00C9159B">
      <w:pPr>
        <w:rPr>
          <w:rFonts w:cs="Arial"/>
          <w:b/>
          <w:noProof/>
          <w:sz w:val="28"/>
          <w:szCs w:val="28"/>
        </w:rPr>
      </w:pPr>
    </w:p>
    <w:p w:rsidR="00CF76E7" w:rsidRDefault="00CF76E7" w:rsidP="00C9159B">
      <w:pPr>
        <w:sectPr w:rsidR="00CF76E7" w:rsidSect="00764301">
          <w:headerReference w:type="default" r:id="rId9"/>
          <w:headerReference w:type="first" r:id="rId10"/>
          <w:pgSz w:w="11906" w:h="16838"/>
          <w:pgMar w:top="1440" w:right="1440" w:bottom="1440" w:left="1440" w:header="567" w:footer="567" w:gutter="0"/>
          <w:cols w:space="708"/>
          <w:docGrid w:linePitch="360"/>
        </w:sectPr>
      </w:pPr>
    </w:p>
    <w:tbl>
      <w:tblPr>
        <w:tblW w:w="9546" w:type="dxa"/>
        <w:tblLook w:val="01E0" w:firstRow="1" w:lastRow="1" w:firstColumn="1" w:lastColumn="1" w:noHBand="0" w:noVBand="0"/>
      </w:tblPr>
      <w:tblGrid>
        <w:gridCol w:w="9546"/>
      </w:tblGrid>
      <w:tr w:rsidR="00877FD3" w:rsidTr="00034473">
        <w:tc>
          <w:tcPr>
            <w:tcW w:w="9546" w:type="dxa"/>
          </w:tcPr>
          <w:p w:rsidR="00877FD3" w:rsidRPr="00A76B7E" w:rsidRDefault="009C59B3" w:rsidP="009C59B3">
            <w:pPr>
              <w:pStyle w:val="Heading1"/>
              <w:rPr>
                <w:rFonts w:cs="Arial"/>
              </w:rPr>
            </w:pPr>
            <w:r>
              <w:lastRenderedPageBreak/>
              <w:t>Document Control</w:t>
            </w:r>
          </w:p>
          <w:p w:rsidR="00877FD3" w:rsidRPr="00A76B7E" w:rsidRDefault="00877FD3" w:rsidP="00C9159B">
            <w:pPr>
              <w:pStyle w:val="NoSpacing"/>
              <w:rPr>
                <w:rFonts w:cs="Arial"/>
              </w:rPr>
            </w:pPr>
          </w:p>
          <w:p w:rsidR="00877FD3" w:rsidRPr="00A76B7E" w:rsidRDefault="00877FD3" w:rsidP="009C59B3">
            <w:pPr>
              <w:pStyle w:val="Heading2"/>
            </w:pPr>
            <w:r w:rsidRPr="00A76B7E">
              <w:t>Document Information: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1E0" w:firstRow="1" w:lastRow="1" w:firstColumn="1" w:lastColumn="1" w:noHBand="0" w:noVBand="0"/>
            </w:tblPr>
            <w:tblGrid>
              <w:gridCol w:w="2538"/>
              <w:gridCol w:w="6704"/>
            </w:tblGrid>
            <w:tr w:rsidR="00311FBD" w:rsidRPr="00A76B7E" w:rsidTr="009C59B3">
              <w:tc>
                <w:tcPr>
                  <w:tcW w:w="2538" w:type="dxa"/>
                  <w:shd w:val="clear" w:color="auto" w:fill="92CDDC" w:themeFill="accent5" w:themeFillTint="99"/>
                  <w:vAlign w:val="center"/>
                </w:tcPr>
                <w:p w:rsidR="00311FBD" w:rsidRPr="009C59B3" w:rsidRDefault="00311FBD" w:rsidP="00C9159B">
                  <w:pPr>
                    <w:pStyle w:val="NoSpacing"/>
                    <w:rPr>
                      <w:rFonts w:cs="Arial"/>
                      <w:b/>
                    </w:rPr>
                  </w:pPr>
                  <w:r>
                    <w:rPr>
                      <w:rFonts w:cs="Arial"/>
                      <w:b/>
                    </w:rPr>
                    <w:t>Document ID:</w:t>
                  </w:r>
                </w:p>
              </w:tc>
              <w:tc>
                <w:tcPr>
                  <w:tcW w:w="6704" w:type="dxa"/>
                  <w:vAlign w:val="center"/>
                </w:tcPr>
                <w:p w:rsidR="00311FBD" w:rsidRDefault="00311FBD" w:rsidP="00416A9E">
                  <w:pPr>
                    <w:pStyle w:val="NoSpacing"/>
                    <w:rPr>
                      <w:rFonts w:cs="Arial"/>
                      <w:noProof/>
                    </w:rPr>
                  </w:pPr>
                  <w:r w:rsidRPr="00311FBD">
                    <w:rPr>
                      <w:rFonts w:cs="Arial"/>
                      <w:noProof/>
                    </w:rPr>
                    <w:t>LINC STR2</w:t>
                  </w:r>
                </w:p>
              </w:tc>
            </w:tr>
            <w:tr w:rsidR="00877FD3" w:rsidRPr="00A76B7E" w:rsidTr="009C59B3">
              <w:tc>
                <w:tcPr>
                  <w:tcW w:w="2538" w:type="dxa"/>
                  <w:shd w:val="clear" w:color="auto" w:fill="92CDDC" w:themeFill="accent5" w:themeFillTint="99"/>
                  <w:vAlign w:val="center"/>
                </w:tcPr>
                <w:p w:rsidR="00877FD3" w:rsidRPr="009C59B3" w:rsidRDefault="00877FD3" w:rsidP="00C9159B">
                  <w:pPr>
                    <w:pStyle w:val="NoSpacing"/>
                    <w:rPr>
                      <w:rFonts w:cs="Arial"/>
                      <w:b/>
                    </w:rPr>
                  </w:pPr>
                  <w:r w:rsidRPr="009C59B3">
                    <w:rPr>
                      <w:rFonts w:cs="Arial"/>
                      <w:b/>
                    </w:rPr>
                    <w:t>Document Name:</w:t>
                  </w:r>
                </w:p>
              </w:tc>
              <w:tc>
                <w:tcPr>
                  <w:tcW w:w="6704" w:type="dxa"/>
                  <w:vAlign w:val="center"/>
                </w:tcPr>
                <w:p w:rsidR="00877FD3" w:rsidRPr="00A76B7E" w:rsidRDefault="00D17805" w:rsidP="00D17805">
                  <w:pPr>
                    <w:pStyle w:val="NoSpacing"/>
                    <w:rPr>
                      <w:rFonts w:cs="Arial"/>
                    </w:rPr>
                  </w:pPr>
                  <w:r>
                    <w:rPr>
                      <w:rFonts w:cs="Arial"/>
                      <w:noProof/>
                    </w:rPr>
                    <w:t>Risk</w:t>
                  </w:r>
                  <w:r w:rsidR="00416A9E">
                    <w:rPr>
                      <w:rFonts w:cs="Arial"/>
                      <w:noProof/>
                    </w:rPr>
                    <w:t xml:space="preserve"> and </w:t>
                  </w:r>
                  <w:r w:rsidR="001563A2">
                    <w:rPr>
                      <w:rFonts w:cs="Arial"/>
                      <w:noProof/>
                    </w:rPr>
                    <w:t xml:space="preserve">Issue </w:t>
                  </w:r>
                  <w:r>
                    <w:rPr>
                      <w:rFonts w:cs="Arial"/>
                      <w:noProof/>
                    </w:rPr>
                    <w:t>Management</w:t>
                  </w:r>
                  <w:r w:rsidR="001563A2">
                    <w:rPr>
                      <w:rFonts w:cs="Arial"/>
                      <w:noProof/>
                    </w:rPr>
                    <w:t xml:space="preserve"> Strategy</w:t>
                  </w:r>
                </w:p>
              </w:tc>
            </w:tr>
            <w:tr w:rsidR="00877FD3" w:rsidRPr="00A76B7E" w:rsidTr="009C59B3">
              <w:tc>
                <w:tcPr>
                  <w:tcW w:w="2538" w:type="dxa"/>
                  <w:shd w:val="clear" w:color="auto" w:fill="92CDDC" w:themeFill="accent5" w:themeFillTint="99"/>
                  <w:vAlign w:val="center"/>
                </w:tcPr>
                <w:p w:rsidR="00877FD3" w:rsidRPr="009C59B3" w:rsidRDefault="00877FD3" w:rsidP="00C9159B">
                  <w:pPr>
                    <w:pStyle w:val="NoSpacing"/>
                    <w:rPr>
                      <w:rFonts w:cs="Arial"/>
                      <w:b/>
                    </w:rPr>
                  </w:pPr>
                  <w:r w:rsidRPr="009C59B3">
                    <w:rPr>
                      <w:rFonts w:cs="Arial"/>
                      <w:b/>
                    </w:rPr>
                    <w:t>Version:</w:t>
                  </w:r>
                </w:p>
              </w:tc>
              <w:tc>
                <w:tcPr>
                  <w:tcW w:w="6704" w:type="dxa"/>
                  <w:vAlign w:val="center"/>
                </w:tcPr>
                <w:p w:rsidR="00877FD3" w:rsidRPr="00A76B7E" w:rsidRDefault="00226E67" w:rsidP="00C9159B">
                  <w:pPr>
                    <w:pStyle w:val="NoSpacing"/>
                    <w:rPr>
                      <w:rFonts w:cs="Arial"/>
                    </w:rPr>
                  </w:pPr>
                  <w:r>
                    <w:rPr>
                      <w:rFonts w:cs="Arial"/>
                    </w:rPr>
                    <w:t>1.0</w:t>
                  </w:r>
                </w:p>
              </w:tc>
            </w:tr>
            <w:tr w:rsidR="00877FD3" w:rsidRPr="00A76B7E" w:rsidTr="009C59B3">
              <w:tc>
                <w:tcPr>
                  <w:tcW w:w="2538" w:type="dxa"/>
                  <w:shd w:val="clear" w:color="auto" w:fill="92CDDC" w:themeFill="accent5" w:themeFillTint="99"/>
                  <w:vAlign w:val="center"/>
                </w:tcPr>
                <w:p w:rsidR="00877FD3" w:rsidRPr="009C59B3" w:rsidRDefault="00877FD3" w:rsidP="00C9159B">
                  <w:pPr>
                    <w:pStyle w:val="NoSpacing"/>
                    <w:rPr>
                      <w:rFonts w:cs="Arial"/>
                      <w:b/>
                    </w:rPr>
                  </w:pPr>
                  <w:r w:rsidRPr="009C59B3">
                    <w:rPr>
                      <w:rFonts w:cs="Arial"/>
                      <w:b/>
                    </w:rPr>
                    <w:t>Issue Date:</w:t>
                  </w:r>
                </w:p>
              </w:tc>
              <w:tc>
                <w:tcPr>
                  <w:tcW w:w="6704" w:type="dxa"/>
                  <w:vAlign w:val="center"/>
                </w:tcPr>
                <w:p w:rsidR="00877FD3" w:rsidRPr="00A76B7E" w:rsidRDefault="00226E67" w:rsidP="00C9159B">
                  <w:pPr>
                    <w:pStyle w:val="NoSpacing"/>
                    <w:rPr>
                      <w:rFonts w:cs="Arial"/>
                    </w:rPr>
                  </w:pPr>
                  <w:r>
                    <w:rPr>
                      <w:rFonts w:cs="Arial"/>
                    </w:rPr>
                    <w:t>28</w:t>
                  </w:r>
                  <w:r w:rsidR="00CF0B37">
                    <w:rPr>
                      <w:rFonts w:cs="Arial"/>
                    </w:rPr>
                    <w:t xml:space="preserve"> January 2019</w:t>
                  </w:r>
                </w:p>
              </w:tc>
            </w:tr>
            <w:tr w:rsidR="00877FD3" w:rsidRPr="00A76B7E" w:rsidTr="009C59B3">
              <w:tc>
                <w:tcPr>
                  <w:tcW w:w="2538" w:type="dxa"/>
                  <w:shd w:val="clear" w:color="auto" w:fill="92CDDC" w:themeFill="accent5" w:themeFillTint="99"/>
                  <w:vAlign w:val="center"/>
                </w:tcPr>
                <w:p w:rsidR="00877FD3" w:rsidRPr="009C59B3" w:rsidRDefault="00877FD3" w:rsidP="00C9159B">
                  <w:pPr>
                    <w:pStyle w:val="NoSpacing"/>
                    <w:rPr>
                      <w:rFonts w:cs="Arial"/>
                      <w:b/>
                    </w:rPr>
                  </w:pPr>
                  <w:r w:rsidRPr="009C59B3">
                    <w:rPr>
                      <w:rFonts w:cs="Arial"/>
                      <w:b/>
                    </w:rPr>
                    <w:t>Status:</w:t>
                  </w:r>
                </w:p>
              </w:tc>
              <w:tc>
                <w:tcPr>
                  <w:tcW w:w="6704" w:type="dxa"/>
                  <w:vAlign w:val="center"/>
                </w:tcPr>
                <w:p w:rsidR="00877FD3" w:rsidRPr="00A76B7E" w:rsidRDefault="009D2938" w:rsidP="00C9159B">
                  <w:pPr>
                    <w:pStyle w:val="NoSpacing"/>
                    <w:rPr>
                      <w:rFonts w:cs="Arial"/>
                    </w:rPr>
                  </w:pPr>
                  <w:r>
                    <w:rPr>
                      <w:rFonts w:cs="Arial"/>
                    </w:rPr>
                    <w:t>Draft</w:t>
                  </w:r>
                  <w:r w:rsidR="00840D94">
                    <w:rPr>
                      <w:rFonts w:cs="Arial"/>
                    </w:rPr>
                    <w:t xml:space="preserve"> </w:t>
                  </w:r>
                </w:p>
              </w:tc>
            </w:tr>
            <w:tr w:rsidR="00877FD3" w:rsidRPr="00A76B7E" w:rsidTr="009C59B3">
              <w:tc>
                <w:tcPr>
                  <w:tcW w:w="2538" w:type="dxa"/>
                  <w:shd w:val="clear" w:color="auto" w:fill="92CDDC" w:themeFill="accent5" w:themeFillTint="99"/>
                  <w:vAlign w:val="center"/>
                </w:tcPr>
                <w:p w:rsidR="00877FD3" w:rsidRPr="009C59B3" w:rsidRDefault="00877FD3" w:rsidP="00C9159B">
                  <w:pPr>
                    <w:pStyle w:val="NoSpacing"/>
                    <w:rPr>
                      <w:rFonts w:cs="Arial"/>
                      <w:b/>
                    </w:rPr>
                  </w:pPr>
                  <w:r w:rsidRPr="009C59B3">
                    <w:rPr>
                      <w:rFonts w:cs="Arial"/>
                      <w:b/>
                    </w:rPr>
                    <w:t>Document Owner:</w:t>
                  </w:r>
                </w:p>
              </w:tc>
              <w:tc>
                <w:tcPr>
                  <w:tcW w:w="6704" w:type="dxa"/>
                  <w:vAlign w:val="center"/>
                </w:tcPr>
                <w:p w:rsidR="00877FD3" w:rsidRPr="00A76B7E" w:rsidRDefault="00840D94" w:rsidP="00C9159B">
                  <w:pPr>
                    <w:pStyle w:val="NoSpacing"/>
                    <w:rPr>
                      <w:rFonts w:cs="Arial"/>
                    </w:rPr>
                  </w:pPr>
                  <w:r>
                    <w:rPr>
                      <w:rFonts w:cs="Arial"/>
                    </w:rPr>
                    <w:t>Adrian Thomas</w:t>
                  </w:r>
                </w:p>
              </w:tc>
            </w:tr>
            <w:tr w:rsidR="00CA7A5D" w:rsidRPr="00A76B7E" w:rsidTr="009C59B3">
              <w:tc>
                <w:tcPr>
                  <w:tcW w:w="2538" w:type="dxa"/>
                  <w:shd w:val="clear" w:color="auto" w:fill="92CDDC" w:themeFill="accent5" w:themeFillTint="99"/>
                  <w:vAlign w:val="center"/>
                </w:tcPr>
                <w:p w:rsidR="00CA7A5D" w:rsidRPr="009C59B3" w:rsidRDefault="00CA7A5D" w:rsidP="00C9159B">
                  <w:pPr>
                    <w:pStyle w:val="NoSpacing"/>
                    <w:rPr>
                      <w:rFonts w:cs="Arial"/>
                      <w:b/>
                    </w:rPr>
                  </w:pPr>
                  <w:r w:rsidRPr="009C59B3">
                    <w:rPr>
                      <w:rFonts w:cs="Arial"/>
                      <w:b/>
                    </w:rPr>
                    <w:t xml:space="preserve">Document Author: </w:t>
                  </w:r>
                </w:p>
              </w:tc>
              <w:tc>
                <w:tcPr>
                  <w:tcW w:w="6704" w:type="dxa"/>
                  <w:vAlign w:val="center"/>
                </w:tcPr>
                <w:p w:rsidR="00A3253B" w:rsidRPr="00A76B7E" w:rsidRDefault="00416A9E" w:rsidP="00C9159B">
                  <w:pPr>
                    <w:pStyle w:val="NoSpacing"/>
                    <w:rPr>
                      <w:rFonts w:cs="Arial"/>
                    </w:rPr>
                  </w:pPr>
                  <w:r>
                    <w:rPr>
                      <w:rFonts w:cs="Arial"/>
                    </w:rPr>
                    <w:t>LINC PMO</w:t>
                  </w:r>
                </w:p>
              </w:tc>
            </w:tr>
          </w:tbl>
          <w:p w:rsidR="00877FD3" w:rsidRPr="00A76B7E" w:rsidRDefault="00877FD3" w:rsidP="009C59B3">
            <w:pPr>
              <w:pStyle w:val="Heading2"/>
            </w:pPr>
            <w:r w:rsidRPr="00A76B7E">
              <w:t>Document History:</w:t>
            </w:r>
          </w:p>
          <w:tbl>
            <w:tblPr>
              <w:tblW w:w="9072"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1E0" w:firstRow="1" w:lastRow="1" w:firstColumn="1" w:lastColumn="1" w:noHBand="0" w:noVBand="0"/>
            </w:tblPr>
            <w:tblGrid>
              <w:gridCol w:w="2087"/>
              <w:gridCol w:w="1153"/>
              <w:gridCol w:w="1118"/>
              <w:gridCol w:w="1454"/>
              <w:gridCol w:w="3260"/>
            </w:tblGrid>
            <w:tr w:rsidR="009D2938" w:rsidRPr="00A76B7E" w:rsidTr="00A736D4">
              <w:tc>
                <w:tcPr>
                  <w:tcW w:w="2087" w:type="dxa"/>
                  <w:shd w:val="clear" w:color="auto" w:fill="31849B" w:themeFill="accent5" w:themeFillShade="BF"/>
                </w:tcPr>
                <w:p w:rsidR="00877FD3" w:rsidRPr="00296F76" w:rsidRDefault="00877FD3" w:rsidP="00725DA0">
                  <w:pPr>
                    <w:pStyle w:val="NoSpacing"/>
                    <w:jc w:val="center"/>
                    <w:rPr>
                      <w:rFonts w:cs="Arial"/>
                      <w:b/>
                      <w:color w:val="FFFFFF" w:themeColor="background1"/>
                    </w:rPr>
                  </w:pPr>
                  <w:r w:rsidRPr="00296F76">
                    <w:rPr>
                      <w:rFonts w:cs="Arial"/>
                      <w:b/>
                      <w:color w:val="FFFFFF" w:themeColor="background1"/>
                    </w:rPr>
                    <w:t>Amended by</w:t>
                  </w:r>
                </w:p>
              </w:tc>
              <w:tc>
                <w:tcPr>
                  <w:tcW w:w="1153" w:type="dxa"/>
                  <w:shd w:val="clear" w:color="auto" w:fill="31849B" w:themeFill="accent5" w:themeFillShade="BF"/>
                </w:tcPr>
                <w:p w:rsidR="00877FD3" w:rsidRPr="00296F76" w:rsidRDefault="00877FD3" w:rsidP="00725DA0">
                  <w:pPr>
                    <w:pStyle w:val="NoSpacing"/>
                    <w:jc w:val="center"/>
                    <w:rPr>
                      <w:rFonts w:cs="Arial"/>
                      <w:b/>
                      <w:color w:val="FFFFFF" w:themeColor="background1"/>
                    </w:rPr>
                  </w:pPr>
                  <w:r w:rsidRPr="00296F76">
                    <w:rPr>
                      <w:rFonts w:cs="Arial"/>
                      <w:b/>
                      <w:color w:val="FFFFFF" w:themeColor="background1"/>
                    </w:rPr>
                    <w:t>Version</w:t>
                  </w:r>
                </w:p>
              </w:tc>
              <w:tc>
                <w:tcPr>
                  <w:tcW w:w="1118" w:type="dxa"/>
                  <w:shd w:val="clear" w:color="auto" w:fill="31849B" w:themeFill="accent5" w:themeFillShade="BF"/>
                </w:tcPr>
                <w:p w:rsidR="00877FD3" w:rsidRPr="00296F76" w:rsidRDefault="00877FD3" w:rsidP="00725DA0">
                  <w:pPr>
                    <w:pStyle w:val="NoSpacing"/>
                    <w:jc w:val="center"/>
                    <w:rPr>
                      <w:rFonts w:cs="Arial"/>
                      <w:b/>
                      <w:color w:val="FFFFFF" w:themeColor="background1"/>
                    </w:rPr>
                  </w:pPr>
                  <w:r w:rsidRPr="00296F76">
                    <w:rPr>
                      <w:rFonts w:cs="Arial"/>
                      <w:b/>
                      <w:color w:val="FFFFFF" w:themeColor="background1"/>
                    </w:rPr>
                    <w:t>Status</w:t>
                  </w:r>
                </w:p>
              </w:tc>
              <w:tc>
                <w:tcPr>
                  <w:tcW w:w="1454" w:type="dxa"/>
                  <w:shd w:val="clear" w:color="auto" w:fill="31849B" w:themeFill="accent5" w:themeFillShade="BF"/>
                </w:tcPr>
                <w:p w:rsidR="00877FD3" w:rsidRPr="00296F76" w:rsidRDefault="00877FD3" w:rsidP="00725DA0">
                  <w:pPr>
                    <w:pStyle w:val="NoSpacing"/>
                    <w:jc w:val="center"/>
                    <w:rPr>
                      <w:rFonts w:cs="Arial"/>
                      <w:b/>
                      <w:color w:val="FFFFFF" w:themeColor="background1"/>
                    </w:rPr>
                  </w:pPr>
                  <w:r w:rsidRPr="00296F76">
                    <w:rPr>
                      <w:rFonts w:cs="Arial"/>
                      <w:b/>
                      <w:color w:val="FFFFFF" w:themeColor="background1"/>
                    </w:rPr>
                    <w:t>Date</w:t>
                  </w:r>
                </w:p>
              </w:tc>
              <w:tc>
                <w:tcPr>
                  <w:tcW w:w="3260" w:type="dxa"/>
                  <w:shd w:val="clear" w:color="auto" w:fill="31849B" w:themeFill="accent5" w:themeFillShade="BF"/>
                </w:tcPr>
                <w:p w:rsidR="00877FD3" w:rsidRPr="00296F76" w:rsidRDefault="00877FD3" w:rsidP="00725DA0">
                  <w:pPr>
                    <w:pStyle w:val="NoSpacing"/>
                    <w:jc w:val="center"/>
                    <w:rPr>
                      <w:rFonts w:cs="Arial"/>
                      <w:b/>
                      <w:color w:val="FFFFFF" w:themeColor="background1"/>
                    </w:rPr>
                  </w:pPr>
                  <w:r w:rsidRPr="00296F76">
                    <w:rPr>
                      <w:rFonts w:cs="Arial"/>
                      <w:b/>
                      <w:color w:val="FFFFFF" w:themeColor="background1"/>
                    </w:rPr>
                    <w:t>Purpose of Change</w:t>
                  </w:r>
                </w:p>
              </w:tc>
            </w:tr>
            <w:tr w:rsidR="009D2938" w:rsidRPr="00057578" w:rsidTr="00A736D4">
              <w:tc>
                <w:tcPr>
                  <w:tcW w:w="2087" w:type="dxa"/>
                </w:tcPr>
                <w:p w:rsidR="00877FD3" w:rsidRPr="009D2938" w:rsidRDefault="00840D94" w:rsidP="00C9159B">
                  <w:pPr>
                    <w:pStyle w:val="NoSpacing"/>
                    <w:rPr>
                      <w:rFonts w:cs="Arial"/>
                    </w:rPr>
                  </w:pPr>
                  <w:r>
                    <w:rPr>
                      <w:rFonts w:cs="Arial"/>
                    </w:rPr>
                    <w:t>Kalee Thomas</w:t>
                  </w:r>
                </w:p>
              </w:tc>
              <w:tc>
                <w:tcPr>
                  <w:tcW w:w="1153" w:type="dxa"/>
                </w:tcPr>
                <w:p w:rsidR="00877FD3" w:rsidRPr="009D2938" w:rsidRDefault="009D2938" w:rsidP="00C9159B">
                  <w:pPr>
                    <w:pStyle w:val="NoSpacing"/>
                    <w:rPr>
                      <w:rFonts w:cs="Arial"/>
                    </w:rPr>
                  </w:pPr>
                  <w:r w:rsidRPr="009D2938">
                    <w:rPr>
                      <w:rFonts w:cs="Arial"/>
                    </w:rPr>
                    <w:t>0.1</w:t>
                  </w:r>
                </w:p>
              </w:tc>
              <w:tc>
                <w:tcPr>
                  <w:tcW w:w="1118" w:type="dxa"/>
                </w:tcPr>
                <w:p w:rsidR="00877FD3" w:rsidRPr="009D2938" w:rsidRDefault="009D2938" w:rsidP="00C9159B">
                  <w:pPr>
                    <w:pStyle w:val="NoSpacing"/>
                    <w:rPr>
                      <w:rFonts w:cs="Arial"/>
                    </w:rPr>
                  </w:pPr>
                  <w:r w:rsidRPr="009D2938">
                    <w:rPr>
                      <w:rFonts w:cs="Arial"/>
                    </w:rPr>
                    <w:t>Draft</w:t>
                  </w:r>
                </w:p>
              </w:tc>
              <w:tc>
                <w:tcPr>
                  <w:tcW w:w="1454" w:type="dxa"/>
                </w:tcPr>
                <w:p w:rsidR="00877FD3" w:rsidRPr="009D2938" w:rsidRDefault="00226E67" w:rsidP="00C9159B">
                  <w:pPr>
                    <w:pStyle w:val="NoSpacing"/>
                    <w:rPr>
                      <w:rFonts w:cs="Arial"/>
                    </w:rPr>
                  </w:pPr>
                  <w:r>
                    <w:rPr>
                      <w:rFonts w:cs="Arial"/>
                    </w:rPr>
                    <w:t>30-Oct-18</w:t>
                  </w:r>
                </w:p>
              </w:tc>
              <w:tc>
                <w:tcPr>
                  <w:tcW w:w="3260" w:type="dxa"/>
                </w:tcPr>
                <w:p w:rsidR="00877FD3" w:rsidRPr="009D2938" w:rsidRDefault="009D2938" w:rsidP="00C9159B">
                  <w:pPr>
                    <w:pStyle w:val="NoSpacing"/>
                    <w:rPr>
                      <w:rFonts w:cs="Arial"/>
                    </w:rPr>
                  </w:pPr>
                  <w:r>
                    <w:rPr>
                      <w:rFonts w:cs="Arial"/>
                    </w:rPr>
                    <w:t>Create first draft</w:t>
                  </w:r>
                </w:p>
              </w:tc>
            </w:tr>
            <w:tr w:rsidR="00881988" w:rsidRPr="00057578" w:rsidTr="00A736D4">
              <w:tc>
                <w:tcPr>
                  <w:tcW w:w="2087" w:type="dxa"/>
                </w:tcPr>
                <w:p w:rsidR="00881988" w:rsidRPr="009D2938" w:rsidRDefault="00CF0B37" w:rsidP="00C9159B">
                  <w:pPr>
                    <w:pStyle w:val="NoSpacing"/>
                    <w:rPr>
                      <w:rFonts w:cs="Arial"/>
                    </w:rPr>
                  </w:pPr>
                  <w:r>
                    <w:rPr>
                      <w:rFonts w:cs="Arial"/>
                    </w:rPr>
                    <w:t>Judith Bates</w:t>
                  </w:r>
                </w:p>
              </w:tc>
              <w:tc>
                <w:tcPr>
                  <w:tcW w:w="1153" w:type="dxa"/>
                </w:tcPr>
                <w:p w:rsidR="00881988" w:rsidRPr="009D2938" w:rsidRDefault="00CF0B37" w:rsidP="00C9159B">
                  <w:pPr>
                    <w:pStyle w:val="NoSpacing"/>
                    <w:rPr>
                      <w:rFonts w:cs="Arial"/>
                    </w:rPr>
                  </w:pPr>
                  <w:r>
                    <w:rPr>
                      <w:rFonts w:cs="Arial"/>
                    </w:rPr>
                    <w:t>0.2</w:t>
                  </w:r>
                </w:p>
              </w:tc>
              <w:tc>
                <w:tcPr>
                  <w:tcW w:w="1118" w:type="dxa"/>
                </w:tcPr>
                <w:p w:rsidR="00881988" w:rsidRPr="009D2938" w:rsidRDefault="00CF0B37" w:rsidP="00C9159B">
                  <w:pPr>
                    <w:pStyle w:val="NoSpacing"/>
                    <w:rPr>
                      <w:rFonts w:cs="Arial"/>
                    </w:rPr>
                  </w:pPr>
                  <w:r>
                    <w:rPr>
                      <w:rFonts w:cs="Arial"/>
                    </w:rPr>
                    <w:t>Draft</w:t>
                  </w:r>
                </w:p>
              </w:tc>
              <w:tc>
                <w:tcPr>
                  <w:tcW w:w="1454" w:type="dxa"/>
                </w:tcPr>
                <w:p w:rsidR="00881988" w:rsidRPr="009D2938" w:rsidRDefault="00226E67" w:rsidP="00226E67">
                  <w:pPr>
                    <w:pStyle w:val="NoSpacing"/>
                    <w:rPr>
                      <w:rFonts w:cs="Arial"/>
                    </w:rPr>
                  </w:pPr>
                  <w:r>
                    <w:rPr>
                      <w:rFonts w:cs="Arial"/>
                    </w:rPr>
                    <w:t>13-Jan-1</w:t>
                  </w:r>
                  <w:r w:rsidR="00CF0B37">
                    <w:rPr>
                      <w:rFonts w:cs="Arial"/>
                    </w:rPr>
                    <w:t>9</w:t>
                  </w:r>
                </w:p>
              </w:tc>
              <w:tc>
                <w:tcPr>
                  <w:tcW w:w="3260" w:type="dxa"/>
                </w:tcPr>
                <w:p w:rsidR="00881988" w:rsidRPr="009D2938" w:rsidRDefault="00CF0B37" w:rsidP="00C9159B">
                  <w:pPr>
                    <w:pStyle w:val="NoSpacing"/>
                    <w:rPr>
                      <w:rFonts w:cs="Arial"/>
                    </w:rPr>
                  </w:pPr>
                  <w:r>
                    <w:rPr>
                      <w:rFonts w:cs="Arial"/>
                    </w:rPr>
                    <w:t>Review strategy</w:t>
                  </w:r>
                </w:p>
              </w:tc>
            </w:tr>
            <w:tr w:rsidR="00881988" w:rsidRPr="00057578" w:rsidTr="00A736D4">
              <w:tc>
                <w:tcPr>
                  <w:tcW w:w="2087" w:type="dxa"/>
                </w:tcPr>
                <w:p w:rsidR="00881988" w:rsidRPr="009D2938" w:rsidRDefault="00226E67" w:rsidP="00C9159B">
                  <w:pPr>
                    <w:pStyle w:val="NoSpacing"/>
                    <w:rPr>
                      <w:rFonts w:cs="Arial"/>
                    </w:rPr>
                  </w:pPr>
                  <w:r>
                    <w:rPr>
                      <w:rFonts w:cs="Arial"/>
                    </w:rPr>
                    <w:t>Judith Bates</w:t>
                  </w:r>
                </w:p>
              </w:tc>
              <w:tc>
                <w:tcPr>
                  <w:tcW w:w="1153" w:type="dxa"/>
                </w:tcPr>
                <w:p w:rsidR="00881988" w:rsidRPr="009D2938" w:rsidRDefault="00226E67" w:rsidP="00C9159B">
                  <w:pPr>
                    <w:pStyle w:val="NoSpacing"/>
                    <w:rPr>
                      <w:rFonts w:cs="Arial"/>
                    </w:rPr>
                  </w:pPr>
                  <w:r>
                    <w:rPr>
                      <w:rFonts w:cs="Arial"/>
                    </w:rPr>
                    <w:t>1.0</w:t>
                  </w:r>
                </w:p>
              </w:tc>
              <w:tc>
                <w:tcPr>
                  <w:tcW w:w="1118" w:type="dxa"/>
                </w:tcPr>
                <w:p w:rsidR="00881988" w:rsidRPr="009D2938" w:rsidRDefault="00226E67" w:rsidP="00C9159B">
                  <w:pPr>
                    <w:pStyle w:val="NoSpacing"/>
                    <w:rPr>
                      <w:rFonts w:cs="Arial"/>
                    </w:rPr>
                  </w:pPr>
                  <w:r>
                    <w:rPr>
                      <w:rFonts w:cs="Arial"/>
                    </w:rPr>
                    <w:t>Final</w:t>
                  </w:r>
                </w:p>
              </w:tc>
              <w:tc>
                <w:tcPr>
                  <w:tcW w:w="1454" w:type="dxa"/>
                </w:tcPr>
                <w:p w:rsidR="00881988" w:rsidRPr="009D2938" w:rsidRDefault="00226E67" w:rsidP="00C9159B">
                  <w:pPr>
                    <w:pStyle w:val="NoSpacing"/>
                    <w:rPr>
                      <w:rFonts w:cs="Arial"/>
                    </w:rPr>
                  </w:pPr>
                  <w:r>
                    <w:rPr>
                      <w:rFonts w:cs="Arial"/>
                    </w:rPr>
                    <w:t>28-Jan-19</w:t>
                  </w:r>
                </w:p>
              </w:tc>
              <w:tc>
                <w:tcPr>
                  <w:tcW w:w="3260" w:type="dxa"/>
                </w:tcPr>
                <w:p w:rsidR="00881988" w:rsidRPr="009D2938" w:rsidRDefault="00226E67" w:rsidP="00C9159B">
                  <w:pPr>
                    <w:pStyle w:val="NoSpacing"/>
                    <w:rPr>
                      <w:rFonts w:cs="Arial"/>
                    </w:rPr>
                  </w:pPr>
                  <w:r>
                    <w:rPr>
                      <w:rFonts w:cs="Arial"/>
                    </w:rPr>
                    <w:t>Approved by the LINC Programme Board</w:t>
                  </w:r>
                </w:p>
              </w:tc>
            </w:tr>
            <w:tr w:rsidR="00881988" w:rsidRPr="00057578" w:rsidTr="00A736D4">
              <w:tc>
                <w:tcPr>
                  <w:tcW w:w="2087" w:type="dxa"/>
                </w:tcPr>
                <w:p w:rsidR="00881988" w:rsidRPr="009D2938" w:rsidRDefault="00881988" w:rsidP="00C9159B">
                  <w:pPr>
                    <w:pStyle w:val="NoSpacing"/>
                    <w:rPr>
                      <w:rFonts w:cs="Arial"/>
                    </w:rPr>
                  </w:pPr>
                </w:p>
              </w:tc>
              <w:tc>
                <w:tcPr>
                  <w:tcW w:w="1153" w:type="dxa"/>
                </w:tcPr>
                <w:p w:rsidR="00881988" w:rsidRPr="009D2938" w:rsidRDefault="00881988" w:rsidP="00C9159B">
                  <w:pPr>
                    <w:pStyle w:val="NoSpacing"/>
                    <w:rPr>
                      <w:rFonts w:cs="Arial"/>
                    </w:rPr>
                  </w:pPr>
                </w:p>
              </w:tc>
              <w:tc>
                <w:tcPr>
                  <w:tcW w:w="1118" w:type="dxa"/>
                </w:tcPr>
                <w:p w:rsidR="00881988" w:rsidRPr="009D2938" w:rsidRDefault="00881988" w:rsidP="00C9159B">
                  <w:pPr>
                    <w:pStyle w:val="NoSpacing"/>
                    <w:rPr>
                      <w:rFonts w:cs="Arial"/>
                    </w:rPr>
                  </w:pPr>
                </w:p>
              </w:tc>
              <w:tc>
                <w:tcPr>
                  <w:tcW w:w="1454" w:type="dxa"/>
                </w:tcPr>
                <w:p w:rsidR="00881988" w:rsidRPr="009D2938" w:rsidRDefault="00881988" w:rsidP="00C9159B">
                  <w:pPr>
                    <w:pStyle w:val="NoSpacing"/>
                    <w:rPr>
                      <w:rFonts w:cs="Arial"/>
                    </w:rPr>
                  </w:pPr>
                </w:p>
              </w:tc>
              <w:tc>
                <w:tcPr>
                  <w:tcW w:w="3260" w:type="dxa"/>
                </w:tcPr>
                <w:p w:rsidR="00881988" w:rsidRPr="009D2938" w:rsidRDefault="00881988" w:rsidP="00C9159B">
                  <w:pPr>
                    <w:pStyle w:val="NoSpacing"/>
                    <w:rPr>
                      <w:rFonts w:cs="Arial"/>
                    </w:rPr>
                  </w:pPr>
                </w:p>
              </w:tc>
            </w:tr>
            <w:tr w:rsidR="00881988" w:rsidRPr="00057578" w:rsidTr="00A736D4">
              <w:tc>
                <w:tcPr>
                  <w:tcW w:w="2087" w:type="dxa"/>
                </w:tcPr>
                <w:p w:rsidR="00881988" w:rsidRPr="009D2938" w:rsidRDefault="00881988" w:rsidP="00C9159B">
                  <w:pPr>
                    <w:pStyle w:val="NoSpacing"/>
                    <w:rPr>
                      <w:rFonts w:cs="Arial"/>
                    </w:rPr>
                  </w:pPr>
                </w:p>
              </w:tc>
              <w:tc>
                <w:tcPr>
                  <w:tcW w:w="1153" w:type="dxa"/>
                </w:tcPr>
                <w:p w:rsidR="00881988" w:rsidRPr="009D2938" w:rsidRDefault="00881988" w:rsidP="00C9159B">
                  <w:pPr>
                    <w:pStyle w:val="NoSpacing"/>
                    <w:rPr>
                      <w:rFonts w:cs="Arial"/>
                    </w:rPr>
                  </w:pPr>
                </w:p>
              </w:tc>
              <w:tc>
                <w:tcPr>
                  <w:tcW w:w="1118" w:type="dxa"/>
                </w:tcPr>
                <w:p w:rsidR="00881988" w:rsidRPr="009D2938" w:rsidRDefault="00881988" w:rsidP="00C9159B">
                  <w:pPr>
                    <w:pStyle w:val="NoSpacing"/>
                    <w:rPr>
                      <w:rFonts w:cs="Arial"/>
                    </w:rPr>
                  </w:pPr>
                </w:p>
              </w:tc>
              <w:tc>
                <w:tcPr>
                  <w:tcW w:w="1454" w:type="dxa"/>
                </w:tcPr>
                <w:p w:rsidR="00881988" w:rsidRPr="009D2938" w:rsidRDefault="00881988" w:rsidP="00C9159B">
                  <w:pPr>
                    <w:pStyle w:val="NoSpacing"/>
                    <w:rPr>
                      <w:rFonts w:cs="Arial"/>
                    </w:rPr>
                  </w:pPr>
                </w:p>
              </w:tc>
              <w:tc>
                <w:tcPr>
                  <w:tcW w:w="3260" w:type="dxa"/>
                </w:tcPr>
                <w:p w:rsidR="00881988" w:rsidRPr="009D2938" w:rsidRDefault="00881988" w:rsidP="00C9159B">
                  <w:pPr>
                    <w:pStyle w:val="NoSpacing"/>
                    <w:rPr>
                      <w:rFonts w:cs="Arial"/>
                    </w:rPr>
                  </w:pPr>
                </w:p>
              </w:tc>
            </w:tr>
          </w:tbl>
          <w:p w:rsidR="00877FD3" w:rsidRDefault="00877FD3" w:rsidP="00C9159B">
            <w:pPr>
              <w:pStyle w:val="NoSpacing"/>
              <w:rPr>
                <w:noProof/>
                <w:lang w:eastAsia="en-GB"/>
              </w:rPr>
            </w:pPr>
          </w:p>
        </w:tc>
      </w:tr>
    </w:tbl>
    <w:p w:rsidR="00A736D4" w:rsidRDefault="00A736D4" w:rsidP="00C9159B">
      <w:pPr>
        <w:pStyle w:val="NoSpacing"/>
        <w:rPr>
          <w:rFonts w:cs="Arial"/>
          <w:b/>
        </w:rPr>
      </w:pPr>
    </w:p>
    <w:p w:rsidR="005F10FE" w:rsidRPr="00A76B7E" w:rsidRDefault="005F10FE" w:rsidP="009C59B3">
      <w:pPr>
        <w:pStyle w:val="Heading2"/>
      </w:pPr>
      <w:r>
        <w:t xml:space="preserve"> Circulation List</w:t>
      </w:r>
      <w:r w:rsidRPr="00A76B7E">
        <w:t>:</w:t>
      </w:r>
    </w:p>
    <w:tbl>
      <w:tblPr>
        <w:tblW w:w="907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1E0" w:firstRow="1" w:lastRow="1" w:firstColumn="1" w:lastColumn="1" w:noHBand="0" w:noVBand="0"/>
      </w:tblPr>
      <w:tblGrid>
        <w:gridCol w:w="3260"/>
        <w:gridCol w:w="3544"/>
        <w:gridCol w:w="2268"/>
      </w:tblGrid>
      <w:tr w:rsidR="00725DA0" w:rsidRPr="00725DA0" w:rsidTr="00996993">
        <w:tc>
          <w:tcPr>
            <w:tcW w:w="3260" w:type="dxa"/>
            <w:shd w:val="clear" w:color="auto" w:fill="31849B" w:themeFill="accent5" w:themeFillShade="BF"/>
          </w:tcPr>
          <w:p w:rsidR="005F10FE" w:rsidRPr="00725DA0" w:rsidRDefault="005F10FE" w:rsidP="00725DA0">
            <w:pPr>
              <w:pStyle w:val="NoSpacing"/>
              <w:jc w:val="center"/>
              <w:rPr>
                <w:b/>
                <w:color w:val="FFFFFF" w:themeColor="background1"/>
              </w:rPr>
            </w:pPr>
            <w:r w:rsidRPr="00725DA0">
              <w:rPr>
                <w:b/>
                <w:color w:val="FFFFFF" w:themeColor="background1"/>
              </w:rPr>
              <w:t>Name</w:t>
            </w:r>
          </w:p>
        </w:tc>
        <w:tc>
          <w:tcPr>
            <w:tcW w:w="3544" w:type="dxa"/>
            <w:shd w:val="clear" w:color="auto" w:fill="31849B" w:themeFill="accent5" w:themeFillShade="BF"/>
          </w:tcPr>
          <w:p w:rsidR="005F10FE" w:rsidRPr="00725DA0" w:rsidRDefault="005F10FE" w:rsidP="00725DA0">
            <w:pPr>
              <w:pStyle w:val="NoSpacing"/>
              <w:jc w:val="center"/>
              <w:rPr>
                <w:b/>
                <w:color w:val="FFFFFF" w:themeColor="background1"/>
              </w:rPr>
            </w:pPr>
            <w:r w:rsidRPr="00725DA0">
              <w:rPr>
                <w:b/>
                <w:color w:val="FFFFFF" w:themeColor="background1"/>
              </w:rPr>
              <w:t>Title</w:t>
            </w:r>
          </w:p>
        </w:tc>
        <w:tc>
          <w:tcPr>
            <w:tcW w:w="2268" w:type="dxa"/>
            <w:shd w:val="clear" w:color="auto" w:fill="31849B" w:themeFill="accent5" w:themeFillShade="BF"/>
          </w:tcPr>
          <w:p w:rsidR="005F10FE" w:rsidRPr="00725DA0" w:rsidRDefault="005F10FE" w:rsidP="00725DA0">
            <w:pPr>
              <w:pStyle w:val="NoSpacing"/>
              <w:jc w:val="center"/>
              <w:rPr>
                <w:b/>
                <w:color w:val="FFFFFF" w:themeColor="background1"/>
              </w:rPr>
            </w:pPr>
            <w:r w:rsidRPr="00725DA0">
              <w:rPr>
                <w:b/>
                <w:color w:val="FFFFFF" w:themeColor="background1"/>
              </w:rPr>
              <w:t>Organisation</w:t>
            </w:r>
          </w:p>
        </w:tc>
      </w:tr>
      <w:tr w:rsidR="005F10FE" w:rsidRPr="00C9159B" w:rsidTr="00996993">
        <w:tc>
          <w:tcPr>
            <w:tcW w:w="3260" w:type="dxa"/>
            <w:shd w:val="clear" w:color="auto" w:fill="auto"/>
          </w:tcPr>
          <w:p w:rsidR="005F10FE" w:rsidRPr="00C9159B" w:rsidRDefault="00226E67" w:rsidP="00953D9C">
            <w:pPr>
              <w:pStyle w:val="NoSpacing"/>
              <w:jc w:val="left"/>
            </w:pPr>
            <w:r>
              <w:t>LINC Programme Board</w:t>
            </w:r>
          </w:p>
        </w:tc>
        <w:tc>
          <w:tcPr>
            <w:tcW w:w="3544" w:type="dxa"/>
            <w:shd w:val="clear" w:color="auto" w:fill="auto"/>
          </w:tcPr>
          <w:p w:rsidR="005F10FE" w:rsidRPr="00C9159B" w:rsidRDefault="005F10FE" w:rsidP="00C9159B">
            <w:pPr>
              <w:pStyle w:val="NoSpacing"/>
            </w:pPr>
          </w:p>
        </w:tc>
        <w:tc>
          <w:tcPr>
            <w:tcW w:w="2268" w:type="dxa"/>
            <w:shd w:val="clear" w:color="auto" w:fill="auto"/>
          </w:tcPr>
          <w:p w:rsidR="005F10FE" w:rsidRPr="00C9159B" w:rsidRDefault="005F10FE" w:rsidP="00C9159B">
            <w:pPr>
              <w:pStyle w:val="NoSpacing"/>
            </w:pPr>
          </w:p>
        </w:tc>
      </w:tr>
      <w:tr w:rsidR="005F10FE" w:rsidRPr="00C9159B" w:rsidTr="00996993">
        <w:tc>
          <w:tcPr>
            <w:tcW w:w="3260" w:type="dxa"/>
            <w:shd w:val="clear" w:color="auto" w:fill="auto"/>
          </w:tcPr>
          <w:p w:rsidR="005F10FE" w:rsidRPr="00C9159B" w:rsidRDefault="005F10FE" w:rsidP="00953D9C">
            <w:pPr>
              <w:pStyle w:val="NoSpacing"/>
            </w:pPr>
          </w:p>
        </w:tc>
        <w:tc>
          <w:tcPr>
            <w:tcW w:w="3544" w:type="dxa"/>
            <w:shd w:val="clear" w:color="auto" w:fill="auto"/>
          </w:tcPr>
          <w:p w:rsidR="005F10FE" w:rsidRPr="00C9159B" w:rsidRDefault="005F10FE" w:rsidP="00C9159B">
            <w:pPr>
              <w:pStyle w:val="NoSpacing"/>
            </w:pPr>
          </w:p>
        </w:tc>
        <w:tc>
          <w:tcPr>
            <w:tcW w:w="2268" w:type="dxa"/>
            <w:shd w:val="clear" w:color="auto" w:fill="auto"/>
          </w:tcPr>
          <w:p w:rsidR="005F10FE" w:rsidRPr="00C9159B" w:rsidRDefault="005F10FE" w:rsidP="00C9159B">
            <w:pPr>
              <w:pStyle w:val="NoSpacing"/>
            </w:pPr>
          </w:p>
        </w:tc>
      </w:tr>
      <w:tr w:rsidR="005F10FE" w:rsidRPr="00C9159B" w:rsidTr="00996993">
        <w:tc>
          <w:tcPr>
            <w:tcW w:w="3260" w:type="dxa"/>
            <w:shd w:val="clear" w:color="auto" w:fill="auto"/>
          </w:tcPr>
          <w:p w:rsidR="005F10FE" w:rsidRPr="00C9159B" w:rsidRDefault="005F10FE" w:rsidP="00C9159B">
            <w:pPr>
              <w:pStyle w:val="NoSpacing"/>
            </w:pPr>
          </w:p>
        </w:tc>
        <w:tc>
          <w:tcPr>
            <w:tcW w:w="3544" w:type="dxa"/>
            <w:shd w:val="clear" w:color="auto" w:fill="auto"/>
          </w:tcPr>
          <w:p w:rsidR="005F10FE" w:rsidRPr="00C9159B" w:rsidRDefault="005F10FE" w:rsidP="00C9159B">
            <w:pPr>
              <w:pStyle w:val="NoSpacing"/>
            </w:pPr>
          </w:p>
        </w:tc>
        <w:tc>
          <w:tcPr>
            <w:tcW w:w="2268" w:type="dxa"/>
            <w:shd w:val="clear" w:color="auto" w:fill="auto"/>
          </w:tcPr>
          <w:p w:rsidR="005F10FE" w:rsidRPr="00C9159B" w:rsidRDefault="005F10FE" w:rsidP="00C9159B">
            <w:pPr>
              <w:pStyle w:val="NoSpacing"/>
            </w:pPr>
          </w:p>
        </w:tc>
      </w:tr>
      <w:tr w:rsidR="00D03289" w:rsidRPr="00C9159B" w:rsidTr="00996993">
        <w:tc>
          <w:tcPr>
            <w:tcW w:w="3260" w:type="dxa"/>
            <w:shd w:val="clear" w:color="auto" w:fill="auto"/>
          </w:tcPr>
          <w:p w:rsidR="00D03289" w:rsidRPr="00C9159B" w:rsidRDefault="00D03289" w:rsidP="00D03289">
            <w:pPr>
              <w:pStyle w:val="NoSpacing"/>
            </w:pPr>
          </w:p>
        </w:tc>
        <w:tc>
          <w:tcPr>
            <w:tcW w:w="3544" w:type="dxa"/>
            <w:shd w:val="clear" w:color="auto" w:fill="auto"/>
          </w:tcPr>
          <w:p w:rsidR="00D03289" w:rsidRPr="00C9159B" w:rsidRDefault="00D03289" w:rsidP="00D03289">
            <w:pPr>
              <w:pStyle w:val="NoSpacing"/>
            </w:pPr>
          </w:p>
        </w:tc>
        <w:tc>
          <w:tcPr>
            <w:tcW w:w="2268" w:type="dxa"/>
            <w:shd w:val="clear" w:color="auto" w:fill="auto"/>
          </w:tcPr>
          <w:p w:rsidR="00D03289" w:rsidRPr="00C9159B" w:rsidRDefault="00D03289" w:rsidP="00D03289">
            <w:pPr>
              <w:pStyle w:val="NoSpacing"/>
            </w:pPr>
          </w:p>
        </w:tc>
      </w:tr>
      <w:tr w:rsidR="00D03289" w:rsidRPr="00C9159B" w:rsidTr="00996993">
        <w:tc>
          <w:tcPr>
            <w:tcW w:w="3260" w:type="dxa"/>
            <w:shd w:val="clear" w:color="auto" w:fill="auto"/>
          </w:tcPr>
          <w:p w:rsidR="00D03289" w:rsidRPr="00C9159B" w:rsidRDefault="00D03289" w:rsidP="00D03289">
            <w:pPr>
              <w:pStyle w:val="NoSpacing"/>
            </w:pPr>
          </w:p>
        </w:tc>
        <w:tc>
          <w:tcPr>
            <w:tcW w:w="3544" w:type="dxa"/>
            <w:shd w:val="clear" w:color="auto" w:fill="auto"/>
          </w:tcPr>
          <w:p w:rsidR="00D03289" w:rsidRPr="00C9159B" w:rsidRDefault="00D03289" w:rsidP="00D03289">
            <w:pPr>
              <w:pStyle w:val="NoSpacing"/>
            </w:pPr>
          </w:p>
        </w:tc>
        <w:tc>
          <w:tcPr>
            <w:tcW w:w="2268" w:type="dxa"/>
            <w:shd w:val="clear" w:color="auto" w:fill="auto"/>
          </w:tcPr>
          <w:p w:rsidR="00D03289" w:rsidRPr="00C9159B" w:rsidRDefault="00D03289" w:rsidP="00D03289">
            <w:pPr>
              <w:pStyle w:val="NoSpacing"/>
            </w:pPr>
          </w:p>
        </w:tc>
      </w:tr>
    </w:tbl>
    <w:p w:rsidR="009D2938" w:rsidRDefault="009D2938" w:rsidP="00C9159B">
      <w:r>
        <w:br w:type="page"/>
      </w:r>
    </w:p>
    <w:p w:rsidR="005D2A2E" w:rsidRDefault="00840D94" w:rsidP="00C9159B">
      <w:pPr>
        <w:pStyle w:val="Heading1"/>
      </w:pPr>
      <w:r>
        <w:lastRenderedPageBreak/>
        <w:t>Purpose</w:t>
      </w:r>
    </w:p>
    <w:p w:rsidR="00B8196E" w:rsidRPr="001961F8" w:rsidRDefault="00840D94" w:rsidP="00C9159B">
      <w:pPr>
        <w:rPr>
          <w:szCs w:val="24"/>
        </w:rPr>
      </w:pPr>
      <w:r>
        <w:rPr>
          <w:szCs w:val="24"/>
        </w:rPr>
        <w:t>T</w:t>
      </w:r>
      <w:r w:rsidR="00A27AD0">
        <w:rPr>
          <w:szCs w:val="24"/>
        </w:rPr>
        <w:t>he purpose of this strategy is t</w:t>
      </w:r>
      <w:r>
        <w:rPr>
          <w:szCs w:val="24"/>
        </w:rPr>
        <w:t>o describe the specific risk and issue management techniques and standards to be applied and the responsibilities for achieving an effective risk and issue management procedure. Th</w:t>
      </w:r>
      <w:r w:rsidR="00C86874">
        <w:rPr>
          <w:szCs w:val="24"/>
        </w:rPr>
        <w:t>e approach proposed</w:t>
      </w:r>
      <w:r>
        <w:rPr>
          <w:szCs w:val="24"/>
        </w:rPr>
        <w:t xml:space="preserve"> is </w:t>
      </w:r>
      <w:r w:rsidR="00A27AD0">
        <w:rPr>
          <w:szCs w:val="24"/>
        </w:rPr>
        <w:t>based on</w:t>
      </w:r>
      <w:r>
        <w:rPr>
          <w:szCs w:val="24"/>
        </w:rPr>
        <w:t xml:space="preserve"> Managing Successful Programmes </w:t>
      </w:r>
      <w:r w:rsidR="00A27AD0">
        <w:rPr>
          <w:szCs w:val="24"/>
        </w:rPr>
        <w:t xml:space="preserve">(MSP) </w:t>
      </w:r>
      <w:r>
        <w:rPr>
          <w:szCs w:val="24"/>
        </w:rPr>
        <w:t xml:space="preserve">best practice and </w:t>
      </w:r>
      <w:r w:rsidR="00A27AD0">
        <w:rPr>
          <w:szCs w:val="24"/>
        </w:rPr>
        <w:t xml:space="preserve">NHS Wales Health Collaborative </w:t>
      </w:r>
      <w:r w:rsidR="004D456B">
        <w:rPr>
          <w:szCs w:val="24"/>
        </w:rPr>
        <w:t xml:space="preserve">(NHSWHC) </w:t>
      </w:r>
      <w:r w:rsidR="00A27AD0">
        <w:rPr>
          <w:szCs w:val="24"/>
        </w:rPr>
        <w:t>arrangements in accordance with Public Health Wales risk management policy and procedures</w:t>
      </w:r>
      <w:r w:rsidR="00A27AD0">
        <w:rPr>
          <w:rStyle w:val="FootnoteReference"/>
          <w:szCs w:val="24"/>
        </w:rPr>
        <w:footnoteReference w:id="1"/>
      </w:r>
      <w:r>
        <w:rPr>
          <w:szCs w:val="24"/>
        </w:rPr>
        <w:t>.</w:t>
      </w:r>
    </w:p>
    <w:p w:rsidR="00B8196E" w:rsidRPr="00897353" w:rsidRDefault="00B8196E" w:rsidP="00C9159B">
      <w:r>
        <w:t>The management of risks and issues is of paramount import</w:t>
      </w:r>
      <w:r w:rsidR="00C17023">
        <w:t>ance in ensuring that the LINC P</w:t>
      </w:r>
      <w:r>
        <w:t xml:space="preserve">rogramme maintains visibility of and proactively manages all factors that may adversely affect the achievement of its objectives. </w:t>
      </w:r>
      <w:r w:rsidR="00087B75">
        <w:t xml:space="preserve">It is closely linked to the delivery of programme and project objectives and benefits realisation. </w:t>
      </w:r>
      <w:r w:rsidR="00C86874">
        <w:t xml:space="preserve">It is </w:t>
      </w:r>
      <w:r w:rsidR="00087B75">
        <w:t xml:space="preserve">therefore essential </w:t>
      </w:r>
      <w:r w:rsidR="00C86874">
        <w:t>that the management of risk</w:t>
      </w:r>
      <w:r w:rsidR="00087B75">
        <w:t>s and issues</w:t>
      </w:r>
      <w:r w:rsidR="00C86874">
        <w:t xml:space="preserve"> is fully embedded in management processes</w:t>
      </w:r>
      <w:r w:rsidR="00087B75">
        <w:t xml:space="preserve"> and consistently applied</w:t>
      </w:r>
      <w:r w:rsidR="00C86874">
        <w:t xml:space="preserve">.  To best achieve this, this strategy </w:t>
      </w:r>
      <w:r w:rsidR="00087B75">
        <w:t xml:space="preserve">along </w:t>
      </w:r>
      <w:r w:rsidR="00C86874">
        <w:t>with</w:t>
      </w:r>
      <w:r w:rsidR="00087B75">
        <w:t xml:space="preserve"> the programme and projects risk and issue registers will be widely available to everyone with an interest in the programme.</w:t>
      </w:r>
    </w:p>
    <w:p w:rsidR="00483C22" w:rsidRDefault="00B8196E" w:rsidP="00C9159B">
      <w:pPr>
        <w:pStyle w:val="Heading1"/>
      </w:pPr>
      <w:r>
        <w:t>Risk and Issue Definition</w:t>
      </w:r>
    </w:p>
    <w:p w:rsidR="008F18FB" w:rsidRDefault="00B8196E" w:rsidP="00C9159B">
      <w:r>
        <w:t>The notion of risks and issues are often confused. To avoid uncertainty risks and issues for the LINC Programme are defined as follows:</w:t>
      </w:r>
    </w:p>
    <w:p w:rsidR="00B8196E" w:rsidRDefault="00087B75" w:rsidP="00C9159B">
      <w:r w:rsidRPr="00087B75">
        <w:t xml:space="preserve">A </w:t>
      </w:r>
      <w:r w:rsidR="00B8196E" w:rsidRPr="00087B75">
        <w:rPr>
          <w:i/>
        </w:rPr>
        <w:t>Risk</w:t>
      </w:r>
      <w:r>
        <w:rPr>
          <w:b/>
        </w:rPr>
        <w:t xml:space="preserve"> </w:t>
      </w:r>
      <w:r w:rsidRPr="00087B75">
        <w:t>is defined a</w:t>
      </w:r>
      <w:r>
        <w:t>s</w:t>
      </w:r>
      <w:r w:rsidRPr="00087B75">
        <w:t xml:space="preserve"> uncertainty of outcome, which may a positive opportunity or a negative threat</w:t>
      </w:r>
      <w:r>
        <w:t>. Risks</w:t>
      </w:r>
      <w:r w:rsidR="00B8196E">
        <w:t xml:space="preserve"> may happen at some point in the future and require active management</w:t>
      </w:r>
      <w:r>
        <w:t xml:space="preserve"> (where posing a threat)</w:t>
      </w:r>
      <w:r w:rsidR="00B8196E">
        <w:t xml:space="preserve"> to reduce their likelihood of happening, their impact on the programme, or both. </w:t>
      </w:r>
    </w:p>
    <w:p w:rsidR="00B8196E" w:rsidRPr="00C17023" w:rsidRDefault="00087B75" w:rsidP="00C9159B">
      <w:r w:rsidRPr="00087B75">
        <w:t xml:space="preserve">An </w:t>
      </w:r>
      <w:r w:rsidRPr="00087B75">
        <w:rPr>
          <w:i/>
        </w:rPr>
        <w:t>Is</w:t>
      </w:r>
      <w:r w:rsidR="00B8196E" w:rsidRPr="00087B75">
        <w:rPr>
          <w:i/>
        </w:rPr>
        <w:t>sue</w:t>
      </w:r>
      <w:r w:rsidR="00B8196E">
        <w:rPr>
          <w:b/>
        </w:rPr>
        <w:t xml:space="preserve"> </w:t>
      </w:r>
      <w:r>
        <w:t>is something</w:t>
      </w:r>
      <w:r w:rsidR="00B8196E">
        <w:t xml:space="preserve"> that </w:t>
      </w:r>
      <w:r>
        <w:t>is or has</w:t>
      </w:r>
      <w:r w:rsidR="00B8196E">
        <w:t xml:space="preserve"> happened that affect</w:t>
      </w:r>
      <w:r>
        <w:t>s</w:t>
      </w:r>
      <w:r w:rsidR="00B8196E">
        <w:t xml:space="preserve"> the programme </w:t>
      </w:r>
      <w:r>
        <w:t xml:space="preserve">or project </w:t>
      </w:r>
      <w:r w:rsidR="00B8196E">
        <w:t xml:space="preserve">and needs to be actively dealt with and resolved. </w:t>
      </w:r>
      <w:r w:rsidR="00C17023">
        <w:t>An issue may be raised by anyone. A risk, should it occur, becomes an issue.</w:t>
      </w:r>
    </w:p>
    <w:p w:rsidR="00C17023" w:rsidRDefault="00685C92" w:rsidP="00C9159B">
      <w:pPr>
        <w:pStyle w:val="Heading1"/>
      </w:pPr>
      <w:r>
        <w:t>R</w:t>
      </w:r>
      <w:r w:rsidR="00C17023">
        <w:t>oles and Responsibilities</w:t>
      </w:r>
    </w:p>
    <w:p w:rsidR="00C17023" w:rsidRDefault="00C17023" w:rsidP="00A83EB1">
      <w:pPr>
        <w:pStyle w:val="ListParagraph"/>
        <w:numPr>
          <w:ilvl w:val="0"/>
          <w:numId w:val="4"/>
        </w:numPr>
      </w:pPr>
      <w:r>
        <w:t xml:space="preserve">The </w:t>
      </w:r>
      <w:r w:rsidRPr="00C17023">
        <w:rPr>
          <w:i/>
        </w:rPr>
        <w:t>Programme Director</w:t>
      </w:r>
      <w:r>
        <w:t xml:space="preserve">, on behalf of the </w:t>
      </w:r>
      <w:r w:rsidRPr="00C17023">
        <w:rPr>
          <w:i/>
        </w:rPr>
        <w:t>Senior Responsible Owner</w:t>
      </w:r>
      <w:r>
        <w:t>, is responsible for ensuring risk management and issue resolution is operating effectively and that key strategic risks and issues are being dealt with at the appropriate senior level;</w:t>
      </w:r>
    </w:p>
    <w:p w:rsidR="00C17023" w:rsidRDefault="00C17023" w:rsidP="00A83EB1">
      <w:pPr>
        <w:pStyle w:val="ListParagraph"/>
        <w:numPr>
          <w:ilvl w:val="0"/>
          <w:numId w:val="4"/>
        </w:numPr>
      </w:pPr>
      <w:r>
        <w:t xml:space="preserve">The </w:t>
      </w:r>
      <w:r w:rsidRPr="00C17023">
        <w:rPr>
          <w:i/>
        </w:rPr>
        <w:t>Programme Manager</w:t>
      </w:r>
      <w:r>
        <w:t xml:space="preserve"> is responsible for the development and implementation of the strategies for handling risks and issues;</w:t>
      </w:r>
    </w:p>
    <w:p w:rsidR="00C17023" w:rsidRDefault="00C17023" w:rsidP="00A83EB1">
      <w:pPr>
        <w:pStyle w:val="ListParagraph"/>
        <w:numPr>
          <w:ilvl w:val="0"/>
          <w:numId w:val="4"/>
        </w:numPr>
      </w:pPr>
      <w:r>
        <w:t xml:space="preserve">The </w:t>
      </w:r>
      <w:r w:rsidRPr="00C17023">
        <w:rPr>
          <w:i/>
        </w:rPr>
        <w:t>Risk/Issue Owner</w:t>
      </w:r>
      <w:r>
        <w:t xml:space="preserve"> is responsible for carrying out the necessary response actions or mitigation plans;</w:t>
      </w:r>
    </w:p>
    <w:p w:rsidR="00046270" w:rsidRDefault="00046270" w:rsidP="00A83EB1">
      <w:pPr>
        <w:pStyle w:val="ListParagraph"/>
        <w:numPr>
          <w:ilvl w:val="0"/>
          <w:numId w:val="4"/>
        </w:numPr>
      </w:pPr>
      <w:r>
        <w:t xml:space="preserve">The </w:t>
      </w:r>
      <w:r w:rsidRPr="00046270">
        <w:rPr>
          <w:i/>
        </w:rPr>
        <w:t>Risk/Issue Actioner</w:t>
      </w:r>
      <w:r>
        <w:t xml:space="preserve"> is responsible for any specific agreed actions relating to the mitigation of a risk or resolution of an issue.</w:t>
      </w:r>
    </w:p>
    <w:p w:rsidR="00C17023" w:rsidRDefault="00C17023" w:rsidP="00A83EB1">
      <w:pPr>
        <w:pStyle w:val="ListParagraph"/>
        <w:numPr>
          <w:ilvl w:val="0"/>
          <w:numId w:val="4"/>
        </w:numPr>
      </w:pPr>
      <w:r>
        <w:t xml:space="preserve">The </w:t>
      </w:r>
      <w:r w:rsidR="00416A9E">
        <w:rPr>
          <w:i/>
        </w:rPr>
        <w:t>PMO</w:t>
      </w:r>
      <w:r>
        <w:t xml:space="preserve"> owns the process of risk management and issue resolution for the programme</w:t>
      </w:r>
      <w:r w:rsidR="00870602">
        <w:t xml:space="preserve">, managing and coordinating </w:t>
      </w:r>
      <w:r>
        <w:t>programme</w:t>
      </w:r>
      <w:r w:rsidR="00870602">
        <w:t xml:space="preserve">-wide </w:t>
      </w:r>
      <w:r>
        <w:t>risks and issues information and support systems;</w:t>
      </w:r>
    </w:p>
    <w:p w:rsidR="00C17023" w:rsidRDefault="00C17023" w:rsidP="00A83EB1">
      <w:pPr>
        <w:pStyle w:val="ListParagraph"/>
        <w:numPr>
          <w:ilvl w:val="0"/>
          <w:numId w:val="4"/>
        </w:numPr>
      </w:pPr>
      <w:r>
        <w:t xml:space="preserve">At a project level, the </w:t>
      </w:r>
      <w:r w:rsidR="00953D9C" w:rsidRPr="00953D9C">
        <w:rPr>
          <w:i/>
        </w:rPr>
        <w:t xml:space="preserve">Project </w:t>
      </w:r>
      <w:r w:rsidR="00953D9C">
        <w:rPr>
          <w:i/>
        </w:rPr>
        <w:t>Sponsor</w:t>
      </w:r>
      <w:r w:rsidR="00953D9C">
        <w:t xml:space="preserve"> is responsible for notifying the Programme Manager of any risks that affect the project’s ability to meet </w:t>
      </w:r>
      <w:r w:rsidR="00953D9C">
        <w:lastRenderedPageBreak/>
        <w:t>programme objectives, making decisions on recommended responses, striking a balance between level of risk and potential benefits;</w:t>
      </w:r>
    </w:p>
    <w:p w:rsidR="00953D9C" w:rsidRDefault="00953D9C" w:rsidP="00A83EB1">
      <w:pPr>
        <w:pStyle w:val="ListParagraph"/>
        <w:numPr>
          <w:ilvl w:val="0"/>
          <w:numId w:val="4"/>
        </w:numPr>
      </w:pPr>
      <w:r>
        <w:t xml:space="preserve">The </w:t>
      </w:r>
      <w:r w:rsidRPr="00953D9C">
        <w:rPr>
          <w:i/>
        </w:rPr>
        <w:t>Project Manager</w:t>
      </w:r>
      <w:r>
        <w:t xml:space="preserve"> is responsible </w:t>
      </w:r>
      <w:r w:rsidR="009712E3">
        <w:t>for ensuring project risks are identified, recorded and regularly reviewed;</w:t>
      </w:r>
    </w:p>
    <w:p w:rsidR="009712E3" w:rsidRPr="00C17023" w:rsidRDefault="009712E3" w:rsidP="00A83EB1">
      <w:pPr>
        <w:pStyle w:val="ListParagraph"/>
        <w:numPr>
          <w:ilvl w:val="0"/>
          <w:numId w:val="4"/>
        </w:numPr>
      </w:pPr>
      <w:r>
        <w:t xml:space="preserve">The </w:t>
      </w:r>
      <w:r w:rsidRPr="009712E3">
        <w:rPr>
          <w:i/>
        </w:rPr>
        <w:t>Team Manager</w:t>
      </w:r>
      <w:r>
        <w:t xml:space="preserve"> is responsible for managing risks associated with a work package they are managing.</w:t>
      </w:r>
    </w:p>
    <w:p w:rsidR="00F53DD8" w:rsidRDefault="00C17023" w:rsidP="00C9159B">
      <w:pPr>
        <w:pStyle w:val="Heading1"/>
      </w:pPr>
      <w:r>
        <w:t>R</w:t>
      </w:r>
      <w:r w:rsidR="00685C92">
        <w:t>isk</w:t>
      </w:r>
      <w:r w:rsidR="009712E3">
        <w:t xml:space="preserve"> </w:t>
      </w:r>
      <w:r w:rsidR="00685C92">
        <w:t>Management</w:t>
      </w:r>
      <w:r w:rsidR="009712E3">
        <w:t xml:space="preserve"> Framework</w:t>
      </w:r>
    </w:p>
    <w:p w:rsidR="00685C92" w:rsidRDefault="00685C92" w:rsidP="00685C92">
      <w:r>
        <w:t xml:space="preserve">Management of risk is an iterative process and must be undertaken during the life of the LINC Programme. </w:t>
      </w:r>
      <w:r w:rsidR="005F450D">
        <w:t xml:space="preserve">This risk management framework covers </w:t>
      </w:r>
      <w:r>
        <w:t>two distinct phases:</w:t>
      </w:r>
    </w:p>
    <w:p w:rsidR="00685C92" w:rsidRDefault="00685C92" w:rsidP="00A83EB1">
      <w:pPr>
        <w:pStyle w:val="ListParagraph"/>
        <w:numPr>
          <w:ilvl w:val="0"/>
          <w:numId w:val="2"/>
        </w:numPr>
      </w:pPr>
      <w:r w:rsidRPr="0087598D">
        <w:rPr>
          <w:i/>
        </w:rPr>
        <w:t>Risk Analysis</w:t>
      </w:r>
      <w:r>
        <w:t xml:space="preserve"> – identifies </w:t>
      </w:r>
      <w:r w:rsidR="0087598D">
        <w:t xml:space="preserve">the risk, </w:t>
      </w:r>
      <w:r>
        <w:t xml:space="preserve">assesses </w:t>
      </w:r>
      <w:r w:rsidR="0087598D">
        <w:t>its</w:t>
      </w:r>
      <w:r w:rsidR="006F5D1B">
        <w:t xml:space="preserve"> likelihood</w:t>
      </w:r>
      <w:r>
        <w:t xml:space="preserve"> </w:t>
      </w:r>
      <w:r w:rsidR="0087598D">
        <w:t>of occurring and potential</w:t>
      </w:r>
      <w:r w:rsidR="009A1CD9">
        <w:t xml:space="preserve"> impact </w:t>
      </w:r>
      <w:r w:rsidR="007A0C10">
        <w:t>on the programme</w:t>
      </w:r>
      <w:r w:rsidR="0087598D">
        <w:t>, the risk owner and proposed mitigation</w:t>
      </w:r>
      <w:r w:rsidR="009A1CD9">
        <w:t xml:space="preserve">. </w:t>
      </w:r>
    </w:p>
    <w:p w:rsidR="00752C3B" w:rsidRDefault="007A0C10" w:rsidP="00A83EB1">
      <w:pPr>
        <w:pStyle w:val="ListParagraph"/>
        <w:numPr>
          <w:ilvl w:val="0"/>
          <w:numId w:val="2"/>
        </w:numPr>
      </w:pPr>
      <w:r w:rsidRPr="0087598D">
        <w:rPr>
          <w:i/>
        </w:rPr>
        <w:t>Risk Management</w:t>
      </w:r>
      <w:r>
        <w:t xml:space="preserve"> – </w:t>
      </w:r>
      <w:r w:rsidR="002A6462">
        <w:t xml:space="preserve">a </w:t>
      </w:r>
      <w:r>
        <w:t>monitors the risk</w:t>
      </w:r>
      <w:r w:rsidR="002A6462">
        <w:t xml:space="preserve"> recording any movement since the last review, provides </w:t>
      </w:r>
      <w:r>
        <w:t>updates</w:t>
      </w:r>
      <w:r w:rsidR="009A1CD9">
        <w:t xml:space="preserve"> </w:t>
      </w:r>
      <w:r>
        <w:t>and puts in appropriate controls</w:t>
      </w:r>
      <w:r w:rsidR="002A6462">
        <w:t>.</w:t>
      </w:r>
    </w:p>
    <w:p w:rsidR="00AC4E58" w:rsidRDefault="00575FA3" w:rsidP="002A6462">
      <w:pPr>
        <w:pStyle w:val="Heading2"/>
      </w:pPr>
      <w:r>
        <w:t>Risk identification</w:t>
      </w:r>
    </w:p>
    <w:p w:rsidR="002A6462" w:rsidRDefault="002A6462" w:rsidP="007A0C10">
      <w:pPr>
        <w:rPr>
          <w:color w:val="000000" w:themeColor="text1"/>
          <w:szCs w:val="22"/>
        </w:rPr>
      </w:pPr>
      <w:r>
        <w:rPr>
          <w:color w:val="000000" w:themeColor="text1"/>
          <w:szCs w:val="22"/>
        </w:rPr>
        <w:t>Identifying risks is initially undertaken during programme definition and project start up but remains a continuous activity</w:t>
      </w:r>
      <w:r w:rsidR="008300AF">
        <w:rPr>
          <w:color w:val="000000" w:themeColor="text1"/>
          <w:szCs w:val="22"/>
        </w:rPr>
        <w:t xml:space="preserve"> throughout the life of each project and the programme as a whole</w:t>
      </w:r>
      <w:r w:rsidR="00575FA3">
        <w:rPr>
          <w:color w:val="000000" w:themeColor="text1"/>
          <w:szCs w:val="22"/>
        </w:rPr>
        <w:t>.  It involves identifying exactly what is a risk (e.g. timescales, resources, etc</w:t>
      </w:r>
      <w:r w:rsidR="000973B8">
        <w:rPr>
          <w:color w:val="000000" w:themeColor="text1"/>
          <w:szCs w:val="22"/>
        </w:rPr>
        <w:t>.</w:t>
      </w:r>
      <w:r w:rsidR="00575FA3">
        <w:rPr>
          <w:color w:val="000000" w:themeColor="text1"/>
          <w:szCs w:val="22"/>
        </w:rPr>
        <w:t>) and recording the risk in the Prog</w:t>
      </w:r>
      <w:r w:rsidR="000973B8">
        <w:rPr>
          <w:color w:val="000000" w:themeColor="text1"/>
          <w:szCs w:val="22"/>
        </w:rPr>
        <w:t>ramme or Project risk register,</w:t>
      </w:r>
      <w:r w:rsidR="00575FA3">
        <w:rPr>
          <w:color w:val="000000" w:themeColor="text1"/>
          <w:szCs w:val="22"/>
        </w:rPr>
        <w:t xml:space="preserve"> a central repository of known risks.  The risk register provides the basis for prioritisation, action, control and reporting. Risks may occur at four levels: strategic, programme, project and operational and managed accordingly.  </w:t>
      </w:r>
    </w:p>
    <w:p w:rsidR="008300AF" w:rsidRDefault="008300AF" w:rsidP="008300AF">
      <w:pPr>
        <w:pStyle w:val="Heading2"/>
      </w:pPr>
      <w:r>
        <w:t>Risk Ownership and Allocation</w:t>
      </w:r>
    </w:p>
    <w:p w:rsidR="008300AF" w:rsidRDefault="008300AF" w:rsidP="007A0C10">
      <w:pPr>
        <w:rPr>
          <w:color w:val="000000" w:themeColor="text1"/>
          <w:szCs w:val="22"/>
        </w:rPr>
      </w:pPr>
      <w:r>
        <w:rPr>
          <w:color w:val="000000" w:themeColor="text1"/>
          <w:szCs w:val="22"/>
        </w:rPr>
        <w:t>Risk management is primarily the responsibility of the Programme and P</w:t>
      </w:r>
      <w:r w:rsidR="00B00D5D">
        <w:rPr>
          <w:color w:val="000000" w:themeColor="text1"/>
          <w:szCs w:val="22"/>
        </w:rPr>
        <w:t>roject</w:t>
      </w:r>
      <w:r>
        <w:rPr>
          <w:color w:val="000000" w:themeColor="text1"/>
          <w:szCs w:val="22"/>
        </w:rPr>
        <w:t xml:space="preserve"> Managers.  However, each identified risk will be allocated to the individual best placed to manage any appropriate mitigation and contingency actions.  They should have the relevant seniority, authority and responsibility to fulfil this role within a project or for the programme as a whole.</w:t>
      </w:r>
      <w:r w:rsidR="00046270">
        <w:rPr>
          <w:color w:val="000000" w:themeColor="text1"/>
          <w:szCs w:val="22"/>
        </w:rPr>
        <w:t xml:space="preserve"> Specific actions may also be allocated to a risk actioner as required.</w:t>
      </w:r>
    </w:p>
    <w:p w:rsidR="008300AF" w:rsidRDefault="008300AF" w:rsidP="008300AF">
      <w:pPr>
        <w:pStyle w:val="Heading2"/>
      </w:pPr>
      <w:r>
        <w:t>Risk Evaluation</w:t>
      </w:r>
    </w:p>
    <w:p w:rsidR="00B00D5D" w:rsidRDefault="006F5D1B" w:rsidP="007A0C10">
      <w:pPr>
        <w:rPr>
          <w:color w:val="000000" w:themeColor="text1"/>
          <w:szCs w:val="22"/>
        </w:rPr>
      </w:pPr>
      <w:r>
        <w:rPr>
          <w:color w:val="000000" w:themeColor="text1"/>
          <w:szCs w:val="22"/>
        </w:rPr>
        <w:t xml:space="preserve">Evaluation of each risk is in accordance with the </w:t>
      </w:r>
      <w:r w:rsidR="004D456B">
        <w:rPr>
          <w:color w:val="000000" w:themeColor="text1"/>
          <w:szCs w:val="22"/>
        </w:rPr>
        <w:t>NHSWHC</w:t>
      </w:r>
      <w:r>
        <w:rPr>
          <w:color w:val="000000" w:themeColor="text1"/>
          <w:szCs w:val="22"/>
        </w:rPr>
        <w:t xml:space="preserve"> risk guidance</w:t>
      </w:r>
      <w:r w:rsidR="004A3472">
        <w:rPr>
          <w:color w:val="000000" w:themeColor="text1"/>
          <w:szCs w:val="22"/>
        </w:rPr>
        <w:t xml:space="preserve"> as set out in </w:t>
      </w:r>
      <w:hyperlink w:anchor="_Appendix_1_NHSWHC" w:history="1">
        <w:r w:rsidR="004A3472" w:rsidRPr="004A3472">
          <w:rPr>
            <w:rStyle w:val="Hyperlink"/>
            <w:szCs w:val="22"/>
          </w:rPr>
          <w:t>Appendix 1</w:t>
        </w:r>
      </w:hyperlink>
      <w:r w:rsidR="00B00D5D">
        <w:rPr>
          <w:color w:val="000000" w:themeColor="text1"/>
          <w:szCs w:val="22"/>
        </w:rPr>
        <w:t xml:space="preserve">. </w:t>
      </w:r>
      <w:r>
        <w:rPr>
          <w:color w:val="000000" w:themeColor="text1"/>
          <w:szCs w:val="22"/>
        </w:rPr>
        <w:t xml:space="preserve">This involves scoring the likelihood and impact of </w:t>
      </w:r>
      <w:r w:rsidR="00DE169D">
        <w:rPr>
          <w:color w:val="000000" w:themeColor="text1"/>
          <w:szCs w:val="22"/>
        </w:rPr>
        <w:t xml:space="preserve">the </w:t>
      </w:r>
      <w:r>
        <w:rPr>
          <w:color w:val="000000" w:themeColor="text1"/>
          <w:szCs w:val="22"/>
        </w:rPr>
        <w:t xml:space="preserve">inherent, current (residual) and target risk; the combined score being RAG rated. </w:t>
      </w:r>
    </w:p>
    <w:p w:rsidR="006F5D1B" w:rsidRDefault="006F5D1B" w:rsidP="006F5D1B">
      <w:pPr>
        <w:pStyle w:val="Heading2"/>
      </w:pPr>
      <w:r>
        <w:t>Risk Response</w:t>
      </w:r>
    </w:p>
    <w:p w:rsidR="006F5D1B" w:rsidRDefault="006F5D1B" w:rsidP="007A0C10">
      <w:pPr>
        <w:rPr>
          <w:color w:val="000000" w:themeColor="text1"/>
          <w:szCs w:val="22"/>
        </w:rPr>
      </w:pPr>
      <w:r>
        <w:rPr>
          <w:color w:val="000000" w:themeColor="text1"/>
          <w:szCs w:val="22"/>
        </w:rPr>
        <w:t xml:space="preserve">Each risk will have a range of possible </w:t>
      </w:r>
      <w:r w:rsidR="00C86874">
        <w:rPr>
          <w:color w:val="000000" w:themeColor="text1"/>
          <w:szCs w:val="22"/>
        </w:rPr>
        <w:t>mitigation actions, known as the ‘</w:t>
      </w:r>
      <w:r w:rsidR="00464C99">
        <w:rPr>
          <w:i/>
          <w:color w:val="000000" w:themeColor="text1"/>
          <w:szCs w:val="22"/>
        </w:rPr>
        <w:t>five</w:t>
      </w:r>
      <w:r w:rsidR="00C86874" w:rsidRPr="00C86874">
        <w:rPr>
          <w:i/>
          <w:color w:val="000000" w:themeColor="text1"/>
          <w:szCs w:val="22"/>
        </w:rPr>
        <w:t xml:space="preserve"> </w:t>
      </w:r>
      <w:proofErr w:type="spellStart"/>
      <w:r w:rsidR="00C86874" w:rsidRPr="00C86874">
        <w:rPr>
          <w:i/>
          <w:color w:val="000000" w:themeColor="text1"/>
          <w:szCs w:val="22"/>
        </w:rPr>
        <w:t>Ts</w:t>
      </w:r>
      <w:proofErr w:type="spellEnd"/>
      <w:r w:rsidR="00C86874" w:rsidRPr="00C86874">
        <w:rPr>
          <w:i/>
          <w:color w:val="000000" w:themeColor="text1"/>
          <w:szCs w:val="22"/>
        </w:rPr>
        <w:t>’</w:t>
      </w:r>
      <w:r w:rsidR="00C86874">
        <w:rPr>
          <w:color w:val="000000" w:themeColor="text1"/>
          <w:szCs w:val="22"/>
        </w:rPr>
        <w:t>:</w:t>
      </w:r>
    </w:p>
    <w:p w:rsidR="00D03289" w:rsidRDefault="00D03289" w:rsidP="00A83EB1">
      <w:pPr>
        <w:pStyle w:val="ListParagraph"/>
        <w:numPr>
          <w:ilvl w:val="0"/>
          <w:numId w:val="5"/>
        </w:numPr>
        <w:rPr>
          <w:color w:val="000000" w:themeColor="text1"/>
          <w:szCs w:val="22"/>
        </w:rPr>
      </w:pPr>
      <w:r w:rsidRPr="00C86874">
        <w:rPr>
          <w:i/>
          <w:color w:val="000000" w:themeColor="text1"/>
          <w:szCs w:val="22"/>
        </w:rPr>
        <w:t>Terminate</w:t>
      </w:r>
      <w:r>
        <w:rPr>
          <w:color w:val="000000" w:themeColor="text1"/>
          <w:szCs w:val="22"/>
        </w:rPr>
        <w:t xml:space="preserve"> the risk by adjusting the programme or project so that the risk no longer applies;</w:t>
      </w:r>
    </w:p>
    <w:p w:rsidR="00C86874" w:rsidRDefault="00C86874" w:rsidP="00A83EB1">
      <w:pPr>
        <w:pStyle w:val="ListParagraph"/>
        <w:numPr>
          <w:ilvl w:val="0"/>
          <w:numId w:val="5"/>
        </w:numPr>
        <w:rPr>
          <w:color w:val="000000" w:themeColor="text1"/>
          <w:szCs w:val="22"/>
        </w:rPr>
      </w:pPr>
      <w:r w:rsidRPr="00C86874">
        <w:rPr>
          <w:i/>
          <w:color w:val="000000" w:themeColor="text1"/>
          <w:szCs w:val="22"/>
        </w:rPr>
        <w:t>Tolerate</w:t>
      </w:r>
      <w:r>
        <w:rPr>
          <w:color w:val="000000" w:themeColor="text1"/>
          <w:szCs w:val="22"/>
        </w:rPr>
        <w:t xml:space="preserve"> the risk using existing management arrangements to handle results of the risks happening;</w:t>
      </w:r>
    </w:p>
    <w:p w:rsidR="00D03289" w:rsidRDefault="00D03289" w:rsidP="00A83EB1">
      <w:pPr>
        <w:pStyle w:val="ListParagraph"/>
        <w:numPr>
          <w:ilvl w:val="0"/>
          <w:numId w:val="5"/>
        </w:numPr>
        <w:rPr>
          <w:color w:val="000000" w:themeColor="text1"/>
          <w:szCs w:val="22"/>
        </w:rPr>
      </w:pPr>
      <w:r w:rsidRPr="00C86874">
        <w:rPr>
          <w:i/>
          <w:color w:val="000000" w:themeColor="text1"/>
          <w:szCs w:val="22"/>
        </w:rPr>
        <w:lastRenderedPageBreak/>
        <w:t>Transfer</w:t>
      </w:r>
      <w:r>
        <w:rPr>
          <w:color w:val="000000" w:themeColor="text1"/>
          <w:szCs w:val="22"/>
        </w:rPr>
        <w:t xml:space="preserve"> the risk to a third party, best placed to manage it;</w:t>
      </w:r>
    </w:p>
    <w:p w:rsidR="00464C99" w:rsidRDefault="00464C99" w:rsidP="00A83EB1">
      <w:pPr>
        <w:pStyle w:val="ListParagraph"/>
        <w:numPr>
          <w:ilvl w:val="0"/>
          <w:numId w:val="5"/>
        </w:numPr>
        <w:rPr>
          <w:color w:val="000000" w:themeColor="text1"/>
          <w:szCs w:val="22"/>
        </w:rPr>
      </w:pPr>
      <w:r w:rsidRPr="00464C99">
        <w:rPr>
          <w:i/>
          <w:color w:val="000000" w:themeColor="text1"/>
          <w:szCs w:val="22"/>
        </w:rPr>
        <w:t xml:space="preserve">Treat </w:t>
      </w:r>
      <w:r>
        <w:rPr>
          <w:i/>
          <w:color w:val="000000" w:themeColor="text1"/>
          <w:szCs w:val="22"/>
        </w:rPr>
        <w:t xml:space="preserve">the risk </w:t>
      </w:r>
      <w:r w:rsidRPr="00464C99">
        <w:rPr>
          <w:i/>
          <w:color w:val="000000" w:themeColor="text1"/>
          <w:szCs w:val="22"/>
        </w:rPr>
        <w:t xml:space="preserve">– </w:t>
      </w:r>
      <w:r w:rsidR="00D03289">
        <w:rPr>
          <w:i/>
          <w:color w:val="000000" w:themeColor="text1"/>
          <w:szCs w:val="22"/>
        </w:rPr>
        <w:t>c</w:t>
      </w:r>
      <w:r w:rsidRPr="00464C99">
        <w:rPr>
          <w:i/>
          <w:color w:val="000000" w:themeColor="text1"/>
          <w:szCs w:val="22"/>
        </w:rPr>
        <w:t>ontingent</w:t>
      </w:r>
      <w:r w:rsidR="00D03289">
        <w:rPr>
          <w:i/>
          <w:color w:val="000000" w:themeColor="text1"/>
          <w:szCs w:val="22"/>
        </w:rPr>
        <w:t>:</w:t>
      </w:r>
      <w:r>
        <w:rPr>
          <w:b/>
          <w:color w:val="000000" w:themeColor="text1"/>
          <w:szCs w:val="22"/>
        </w:rPr>
        <w:t xml:space="preserve"> </w:t>
      </w:r>
      <w:r>
        <w:rPr>
          <w:color w:val="000000" w:themeColor="text1"/>
          <w:szCs w:val="22"/>
        </w:rPr>
        <w:t xml:space="preserve">plan a series of mitigating actions </w:t>
      </w:r>
      <w:r w:rsidR="00D03289">
        <w:rPr>
          <w:color w:val="000000" w:themeColor="text1"/>
          <w:szCs w:val="22"/>
        </w:rPr>
        <w:t xml:space="preserve">that address either the probability or impact of the risk </w:t>
      </w:r>
      <w:r>
        <w:rPr>
          <w:color w:val="000000" w:themeColor="text1"/>
          <w:szCs w:val="22"/>
        </w:rPr>
        <w:t xml:space="preserve">to </w:t>
      </w:r>
      <w:r w:rsidR="00D03289">
        <w:rPr>
          <w:color w:val="000000" w:themeColor="text1"/>
          <w:szCs w:val="22"/>
        </w:rPr>
        <w:t>reduce the risk</w:t>
      </w:r>
      <w:r>
        <w:rPr>
          <w:color w:val="000000" w:themeColor="text1"/>
          <w:szCs w:val="22"/>
        </w:rPr>
        <w:t xml:space="preserve"> to an acceptable level</w:t>
      </w:r>
      <w:r w:rsidR="00D03289">
        <w:rPr>
          <w:color w:val="000000" w:themeColor="text1"/>
          <w:szCs w:val="22"/>
        </w:rPr>
        <w:t>;</w:t>
      </w:r>
    </w:p>
    <w:p w:rsidR="00464C99" w:rsidRPr="00D03289" w:rsidRDefault="00464C99" w:rsidP="00A83EB1">
      <w:pPr>
        <w:pStyle w:val="ListParagraph"/>
        <w:numPr>
          <w:ilvl w:val="0"/>
          <w:numId w:val="5"/>
        </w:numPr>
        <w:rPr>
          <w:color w:val="000000" w:themeColor="text1"/>
          <w:szCs w:val="22"/>
        </w:rPr>
      </w:pPr>
      <w:r w:rsidRPr="00464C99">
        <w:rPr>
          <w:i/>
          <w:color w:val="000000" w:themeColor="text1"/>
          <w:szCs w:val="22"/>
        </w:rPr>
        <w:t xml:space="preserve">Treat </w:t>
      </w:r>
      <w:r>
        <w:rPr>
          <w:i/>
          <w:color w:val="000000" w:themeColor="text1"/>
          <w:szCs w:val="22"/>
        </w:rPr>
        <w:t xml:space="preserve">the risk </w:t>
      </w:r>
      <w:r w:rsidRPr="00464C99">
        <w:rPr>
          <w:i/>
          <w:color w:val="000000" w:themeColor="text1"/>
          <w:szCs w:val="22"/>
        </w:rPr>
        <w:t xml:space="preserve">– </w:t>
      </w:r>
      <w:r w:rsidR="00D03289">
        <w:rPr>
          <w:i/>
          <w:color w:val="000000" w:themeColor="text1"/>
          <w:szCs w:val="22"/>
        </w:rPr>
        <w:t>c</w:t>
      </w:r>
      <w:r w:rsidRPr="00464C99">
        <w:rPr>
          <w:i/>
          <w:color w:val="000000" w:themeColor="text1"/>
          <w:szCs w:val="22"/>
        </w:rPr>
        <w:t>ontainment</w:t>
      </w:r>
      <w:r w:rsidR="00D03289">
        <w:rPr>
          <w:b/>
          <w:color w:val="000000" w:themeColor="text1"/>
          <w:szCs w:val="22"/>
        </w:rPr>
        <w:t>:</w:t>
      </w:r>
      <w:r>
        <w:rPr>
          <w:color w:val="000000" w:themeColor="text1"/>
          <w:szCs w:val="22"/>
        </w:rPr>
        <w:t xml:space="preserve"> a series of mitigating actions to be put into place if the risk becomes an issue</w:t>
      </w:r>
      <w:r w:rsidR="00D03289">
        <w:rPr>
          <w:color w:val="000000" w:themeColor="text1"/>
          <w:szCs w:val="22"/>
        </w:rPr>
        <w:t>.</w:t>
      </w:r>
    </w:p>
    <w:p w:rsidR="00C86874" w:rsidRDefault="00C86874" w:rsidP="00C86874">
      <w:pPr>
        <w:rPr>
          <w:color w:val="000000" w:themeColor="text1"/>
          <w:szCs w:val="22"/>
        </w:rPr>
      </w:pPr>
      <w:r>
        <w:rPr>
          <w:color w:val="000000" w:themeColor="text1"/>
          <w:szCs w:val="22"/>
        </w:rPr>
        <w:t>Having determined the most suitable responses to the identified risks, the relevant actions will be planned, resourced and implemented. Risk and the selected responses will be communicated to stakeholders particularly those affected by the risk or by the actions taken to contain the risk.</w:t>
      </w:r>
    </w:p>
    <w:p w:rsidR="00AD231C" w:rsidRDefault="00AD231C" w:rsidP="00C86874">
      <w:pPr>
        <w:rPr>
          <w:color w:val="000000" w:themeColor="text1"/>
          <w:szCs w:val="22"/>
        </w:rPr>
      </w:pPr>
      <w:r>
        <w:rPr>
          <w:color w:val="000000" w:themeColor="text1"/>
          <w:szCs w:val="22"/>
        </w:rPr>
        <w:t xml:space="preserve">If you are unable to apply any of these risk mitigations you may need to escalate the risk to the next level. </w:t>
      </w:r>
    </w:p>
    <w:p w:rsidR="00416A9E" w:rsidRDefault="00C86874" w:rsidP="00C86874">
      <w:pPr>
        <w:pStyle w:val="Heading2"/>
      </w:pPr>
      <w:r>
        <w:t xml:space="preserve">Risk </w:t>
      </w:r>
      <w:r w:rsidR="00416A9E">
        <w:t>Register</w:t>
      </w:r>
    </w:p>
    <w:p w:rsidR="00416A9E" w:rsidRDefault="00046270" w:rsidP="00416A9E">
      <w:r>
        <w:t xml:space="preserve">There will be a separate risk register for the programme as a whole, for each project and within each work package. </w:t>
      </w:r>
      <w:r w:rsidR="00416A9E">
        <w:t xml:space="preserve">The </w:t>
      </w:r>
      <w:r w:rsidR="00DE169D">
        <w:t>PMO</w:t>
      </w:r>
      <w:r w:rsidR="00416A9E">
        <w:t xml:space="preserve"> </w:t>
      </w:r>
      <w:r w:rsidR="00DE169D">
        <w:t>will maintain the</w:t>
      </w:r>
      <w:r w:rsidR="00416A9E">
        <w:t xml:space="preserve"> risk </w:t>
      </w:r>
      <w:r w:rsidR="00DE169D">
        <w:t>register</w:t>
      </w:r>
      <w:r>
        <w:t>s</w:t>
      </w:r>
      <w:r w:rsidR="00DE169D">
        <w:t>, which</w:t>
      </w:r>
      <w:r w:rsidR="00416A9E">
        <w:t xml:space="preserve"> </w:t>
      </w:r>
      <w:r>
        <w:t>are</w:t>
      </w:r>
      <w:r w:rsidR="00416A9E">
        <w:t xml:space="preserve"> used to capture and actively manage risks.  The </w:t>
      </w:r>
      <w:r w:rsidR="00DE169D">
        <w:t>PMO will review the register monthly</w:t>
      </w:r>
      <w:r>
        <w:t>, or more frequently if required, and follow up with the risk owner or actioner to monitor progress</w:t>
      </w:r>
      <w:r w:rsidR="00533285">
        <w:t xml:space="preserve"> and agree any follow up actions required</w:t>
      </w:r>
      <w:r>
        <w:t xml:space="preserve">. It is essential that the risks are reviewed within the context of a learning environment on a constructive </w:t>
      </w:r>
      <w:r w:rsidRPr="00046270">
        <w:rPr>
          <w:i/>
        </w:rPr>
        <w:t>no blame</w:t>
      </w:r>
      <w:r>
        <w:t xml:space="preserve"> basis.</w:t>
      </w:r>
    </w:p>
    <w:p w:rsidR="00046270" w:rsidRDefault="00191148" w:rsidP="00416A9E">
      <w:r>
        <w:t xml:space="preserve">All </w:t>
      </w:r>
      <w:r w:rsidR="00E62F31">
        <w:t xml:space="preserve">risk </w:t>
      </w:r>
      <w:r>
        <w:t>register</w:t>
      </w:r>
      <w:r w:rsidR="00E62F31">
        <w:t>s</w:t>
      </w:r>
      <w:r>
        <w:t xml:space="preserve"> will be consistent and comprise:</w:t>
      </w:r>
    </w:p>
    <w:p w:rsidR="00191148" w:rsidRDefault="00191148" w:rsidP="00A83EB1">
      <w:pPr>
        <w:pStyle w:val="ListParagraph"/>
        <w:numPr>
          <w:ilvl w:val="0"/>
          <w:numId w:val="6"/>
        </w:numPr>
      </w:pPr>
      <w:r>
        <w:t xml:space="preserve">A </w:t>
      </w:r>
      <w:r w:rsidRPr="00191148">
        <w:rPr>
          <w:i/>
        </w:rPr>
        <w:t>unique reference</w:t>
      </w:r>
      <w:r>
        <w:t xml:space="preserve"> for each risk identified</w:t>
      </w:r>
      <w:r w:rsidR="00F06547">
        <w:t xml:space="preserve"> and </w:t>
      </w:r>
      <w:r>
        <w:t xml:space="preserve">the </w:t>
      </w:r>
      <w:r w:rsidRPr="004A3472">
        <w:rPr>
          <w:i/>
        </w:rPr>
        <w:t>date raised</w:t>
      </w:r>
      <w:r w:rsidR="00F06547">
        <w:t>;</w:t>
      </w:r>
    </w:p>
    <w:p w:rsidR="00191148" w:rsidRDefault="00191148" w:rsidP="00A83EB1">
      <w:pPr>
        <w:pStyle w:val="ListParagraph"/>
        <w:numPr>
          <w:ilvl w:val="0"/>
          <w:numId w:val="6"/>
        </w:numPr>
      </w:pPr>
      <w:r>
        <w:t xml:space="preserve">The </w:t>
      </w:r>
      <w:r w:rsidRPr="004D456B">
        <w:rPr>
          <w:i/>
        </w:rPr>
        <w:t>category</w:t>
      </w:r>
      <w:r w:rsidR="004D456B" w:rsidRPr="004D456B">
        <w:rPr>
          <w:i/>
        </w:rPr>
        <w:t xml:space="preserve"> </w:t>
      </w:r>
      <w:r w:rsidR="004D456B">
        <w:t>of risk as defined in the NHSWHC guidance;</w:t>
      </w:r>
    </w:p>
    <w:p w:rsidR="004D456B" w:rsidRDefault="004D456B" w:rsidP="00A83EB1">
      <w:pPr>
        <w:pStyle w:val="ListParagraph"/>
        <w:numPr>
          <w:ilvl w:val="0"/>
          <w:numId w:val="6"/>
        </w:numPr>
      </w:pPr>
      <w:r>
        <w:t xml:space="preserve">A </w:t>
      </w:r>
      <w:r w:rsidRPr="00191148">
        <w:rPr>
          <w:i/>
        </w:rPr>
        <w:t>description</w:t>
      </w:r>
      <w:r>
        <w:t xml:space="preserve"> of the risk;</w:t>
      </w:r>
    </w:p>
    <w:p w:rsidR="004D456B" w:rsidRDefault="004D456B" w:rsidP="00A83EB1">
      <w:pPr>
        <w:pStyle w:val="ListParagraph"/>
        <w:numPr>
          <w:ilvl w:val="0"/>
          <w:numId w:val="6"/>
        </w:numPr>
      </w:pPr>
      <w:r>
        <w:t xml:space="preserve">The </w:t>
      </w:r>
      <w:r w:rsidRPr="004D456B">
        <w:rPr>
          <w:i/>
        </w:rPr>
        <w:t>risk rating</w:t>
      </w:r>
      <w:r>
        <w:t>: the likelihood and impact scores for the inherent, current (residual) and target risks and the calculated risk scores for each.</w:t>
      </w:r>
    </w:p>
    <w:p w:rsidR="00C309D8" w:rsidRDefault="00C309D8" w:rsidP="00A83EB1">
      <w:pPr>
        <w:pStyle w:val="ListParagraph"/>
        <w:numPr>
          <w:ilvl w:val="0"/>
          <w:numId w:val="6"/>
        </w:numPr>
      </w:pPr>
      <w:r>
        <w:t xml:space="preserve">The </w:t>
      </w:r>
      <w:r w:rsidRPr="00BB5F5A">
        <w:rPr>
          <w:i/>
        </w:rPr>
        <w:t>risk owner</w:t>
      </w:r>
      <w:r>
        <w:t>;</w:t>
      </w:r>
    </w:p>
    <w:p w:rsidR="00F06547" w:rsidRDefault="00F06547" w:rsidP="00A83EB1">
      <w:pPr>
        <w:pStyle w:val="ListParagraph"/>
        <w:numPr>
          <w:ilvl w:val="0"/>
          <w:numId w:val="6"/>
        </w:numPr>
      </w:pPr>
      <w:r>
        <w:t xml:space="preserve">The </w:t>
      </w:r>
      <w:r w:rsidRPr="00FB5A08">
        <w:rPr>
          <w:i/>
        </w:rPr>
        <w:t xml:space="preserve">date </w:t>
      </w:r>
      <w:r>
        <w:t xml:space="preserve">of the last review and the </w:t>
      </w:r>
      <w:r w:rsidRPr="00FB5A08">
        <w:rPr>
          <w:i/>
        </w:rPr>
        <w:t>reviewer</w:t>
      </w:r>
      <w:r>
        <w:t>;</w:t>
      </w:r>
    </w:p>
    <w:p w:rsidR="004D456B" w:rsidRDefault="004D456B" w:rsidP="00F06547">
      <w:pPr>
        <w:pStyle w:val="ListParagraph"/>
        <w:numPr>
          <w:ilvl w:val="0"/>
          <w:numId w:val="6"/>
        </w:numPr>
      </w:pPr>
      <w:r>
        <w:t xml:space="preserve">The </w:t>
      </w:r>
      <w:r w:rsidRPr="004D456B">
        <w:rPr>
          <w:i/>
        </w:rPr>
        <w:t>change</w:t>
      </w:r>
      <w:r>
        <w:t xml:space="preserve"> since the last review: worsened, no change or improved;</w:t>
      </w:r>
    </w:p>
    <w:p w:rsidR="00FB5A08" w:rsidRDefault="00C309D8" w:rsidP="00A83EB1">
      <w:pPr>
        <w:pStyle w:val="ListParagraph"/>
        <w:numPr>
          <w:ilvl w:val="0"/>
          <w:numId w:val="6"/>
        </w:numPr>
      </w:pPr>
      <w:r>
        <w:t>Any</w:t>
      </w:r>
      <w:r w:rsidR="00FB5A08">
        <w:t xml:space="preserve"> </w:t>
      </w:r>
      <w:r w:rsidR="00FB5A08" w:rsidRPr="006B16CB">
        <w:rPr>
          <w:i/>
        </w:rPr>
        <w:t>related risks and issues</w:t>
      </w:r>
      <w:r w:rsidR="00FB5A08">
        <w:t>;</w:t>
      </w:r>
    </w:p>
    <w:p w:rsidR="00F06547" w:rsidRDefault="00F06547" w:rsidP="00A83EB1">
      <w:pPr>
        <w:pStyle w:val="ListParagraph"/>
        <w:numPr>
          <w:ilvl w:val="0"/>
          <w:numId w:val="6"/>
        </w:numPr>
      </w:pPr>
      <w:r>
        <w:t xml:space="preserve">The </w:t>
      </w:r>
      <w:r w:rsidRPr="000E649E">
        <w:rPr>
          <w:i/>
        </w:rPr>
        <w:t>risk owner</w:t>
      </w:r>
      <w:r w:rsidR="000E649E">
        <w:t>;</w:t>
      </w:r>
    </w:p>
    <w:p w:rsidR="00BB5F5A" w:rsidRDefault="00E62F31" w:rsidP="00A83EB1">
      <w:pPr>
        <w:pStyle w:val="ListParagraph"/>
        <w:numPr>
          <w:ilvl w:val="0"/>
          <w:numId w:val="6"/>
        </w:numPr>
      </w:pPr>
      <w:r>
        <w:t xml:space="preserve">The </w:t>
      </w:r>
      <w:r w:rsidRPr="00E62F31">
        <w:rPr>
          <w:i/>
        </w:rPr>
        <w:t>proposed mitigatio</w:t>
      </w:r>
      <w:r w:rsidR="00D03289">
        <w:t>n as per the five</w:t>
      </w:r>
      <w:r>
        <w:t xml:space="preserve"> </w:t>
      </w:r>
      <w:proofErr w:type="spellStart"/>
      <w:r>
        <w:t>Ts</w:t>
      </w:r>
      <w:proofErr w:type="spellEnd"/>
      <w:r>
        <w:t xml:space="preserve"> and </w:t>
      </w:r>
      <w:r w:rsidRPr="00E62F31">
        <w:rPr>
          <w:i/>
        </w:rPr>
        <w:t xml:space="preserve">mitigating </w:t>
      </w:r>
      <w:r w:rsidR="000E649E">
        <w:rPr>
          <w:i/>
        </w:rPr>
        <w:t>response</w:t>
      </w:r>
      <w:r>
        <w:t>;</w:t>
      </w:r>
    </w:p>
    <w:p w:rsidR="000E649E" w:rsidRDefault="000E649E" w:rsidP="000E649E">
      <w:pPr>
        <w:pStyle w:val="ListParagraph"/>
        <w:numPr>
          <w:ilvl w:val="0"/>
          <w:numId w:val="6"/>
        </w:numPr>
      </w:pPr>
      <w:r>
        <w:t xml:space="preserve">The </w:t>
      </w:r>
      <w:r w:rsidRPr="00FB5A08">
        <w:rPr>
          <w:i/>
        </w:rPr>
        <w:t>risk</w:t>
      </w:r>
      <w:r>
        <w:t xml:space="preserve"> status: open, closed or transferred;</w:t>
      </w:r>
    </w:p>
    <w:p w:rsidR="00E62F31" w:rsidRDefault="00E62F31" w:rsidP="00A83EB1">
      <w:pPr>
        <w:pStyle w:val="ListParagraph"/>
        <w:numPr>
          <w:ilvl w:val="0"/>
          <w:numId w:val="6"/>
        </w:numPr>
      </w:pPr>
      <w:r w:rsidRPr="00E62F31">
        <w:rPr>
          <w:i/>
        </w:rPr>
        <w:t>Progress updates</w:t>
      </w:r>
      <w:r>
        <w:t xml:space="preserve"> as a minimum monthly or as they occur for more frequent reporting as required.</w:t>
      </w:r>
    </w:p>
    <w:p w:rsidR="00C86874" w:rsidRDefault="00416A9E" w:rsidP="00C86874">
      <w:pPr>
        <w:pStyle w:val="Heading2"/>
      </w:pPr>
      <w:r>
        <w:t xml:space="preserve">Risk </w:t>
      </w:r>
      <w:r w:rsidR="00C86874">
        <w:t>Escalation</w:t>
      </w:r>
    </w:p>
    <w:p w:rsidR="00416A9E" w:rsidRPr="00DE169D" w:rsidRDefault="00416A9E" w:rsidP="00DE169D">
      <w:pPr>
        <w:rPr>
          <w:szCs w:val="22"/>
        </w:rPr>
      </w:pPr>
      <w:r>
        <w:rPr>
          <w:szCs w:val="22"/>
        </w:rPr>
        <w:t xml:space="preserve">Project risks will be managed within the project unless its impact is wider and will then be escalated to the Programme.  </w:t>
      </w:r>
      <w:r w:rsidR="00DE169D">
        <w:rPr>
          <w:szCs w:val="22"/>
        </w:rPr>
        <w:t xml:space="preserve">Programme risks with a red RAG rating </w:t>
      </w:r>
      <w:r>
        <w:rPr>
          <w:szCs w:val="22"/>
        </w:rPr>
        <w:t xml:space="preserve">will be reported to the </w:t>
      </w:r>
      <w:r w:rsidR="00DE169D">
        <w:rPr>
          <w:szCs w:val="22"/>
        </w:rPr>
        <w:t xml:space="preserve">LINC Programme Board and the </w:t>
      </w:r>
      <w:r>
        <w:rPr>
          <w:szCs w:val="22"/>
        </w:rPr>
        <w:t>NHS Wale</w:t>
      </w:r>
      <w:r w:rsidR="00DE169D">
        <w:rPr>
          <w:szCs w:val="22"/>
        </w:rPr>
        <w:t xml:space="preserve">s Collaborative Executive Group Senior Management Team. </w:t>
      </w:r>
      <w:r w:rsidR="00D03289">
        <w:rPr>
          <w:szCs w:val="22"/>
        </w:rPr>
        <w:t>The Programme Director will additional report s</w:t>
      </w:r>
      <w:r w:rsidR="00DE169D" w:rsidRPr="00416A9E">
        <w:rPr>
          <w:szCs w:val="22"/>
        </w:rPr>
        <w:t>trategic risks to the NHS Wales Collaborative Executive Group.</w:t>
      </w:r>
    </w:p>
    <w:p w:rsidR="009A1CD9" w:rsidRPr="009A1CD9" w:rsidRDefault="009A1CD9" w:rsidP="00E62F31">
      <w:pPr>
        <w:pStyle w:val="Heading1"/>
      </w:pPr>
      <w:r w:rsidRPr="009A1CD9">
        <w:lastRenderedPageBreak/>
        <w:t>Issue</w:t>
      </w:r>
      <w:r w:rsidR="00E62F31">
        <w:t xml:space="preserve"> Resolution Framework</w:t>
      </w:r>
    </w:p>
    <w:p w:rsidR="00870602" w:rsidRDefault="005620A3" w:rsidP="009A1CD9">
      <w:pPr>
        <w:rPr>
          <w:szCs w:val="22"/>
        </w:rPr>
      </w:pPr>
      <w:proofErr w:type="gramStart"/>
      <w:r>
        <w:rPr>
          <w:szCs w:val="22"/>
        </w:rPr>
        <w:t>issues</w:t>
      </w:r>
      <w:proofErr w:type="gramEnd"/>
      <w:r>
        <w:rPr>
          <w:szCs w:val="22"/>
        </w:rPr>
        <w:t xml:space="preserve"> have a current impact on programme/project delivery and may need to be resolved as a high priority, </w:t>
      </w:r>
      <w:r w:rsidR="00870602">
        <w:rPr>
          <w:szCs w:val="22"/>
        </w:rPr>
        <w:t>The issue resolution framework defines a mechanism</w:t>
      </w:r>
      <w:r>
        <w:rPr>
          <w:szCs w:val="22"/>
        </w:rPr>
        <w:t xml:space="preserve"> for efficiently dealing with anything that arises by having processes and responsibilities in place including:</w:t>
      </w:r>
    </w:p>
    <w:p w:rsidR="005620A3" w:rsidRDefault="00192F11" w:rsidP="00192F11">
      <w:pPr>
        <w:pStyle w:val="Heading2"/>
      </w:pPr>
      <w:r w:rsidRPr="00192F11">
        <w:t>Issue source</w:t>
      </w:r>
    </w:p>
    <w:p w:rsidR="00192F11" w:rsidRDefault="00192F11" w:rsidP="00192F11">
      <w:pPr>
        <w:rPr>
          <w:szCs w:val="22"/>
        </w:rPr>
      </w:pPr>
      <w:r>
        <w:rPr>
          <w:szCs w:val="22"/>
        </w:rPr>
        <w:t>Issue may arise from any number of sources such as cost, scope, timescale or third parties. Regardless of the source, all issues will be logged in the programme, project or work package issue register, which provides a management tool for the ongoing tracking and monitoring of issue resolution.</w:t>
      </w:r>
    </w:p>
    <w:p w:rsidR="00192F11" w:rsidRDefault="00192F11" w:rsidP="00192F11">
      <w:pPr>
        <w:pStyle w:val="Heading2"/>
      </w:pPr>
      <w:r>
        <w:t>Issue Type</w:t>
      </w:r>
    </w:p>
    <w:p w:rsidR="00192F11" w:rsidRDefault="00192F11" w:rsidP="00192F11">
      <w:pPr>
        <w:rPr>
          <w:szCs w:val="22"/>
        </w:rPr>
      </w:pPr>
      <w:r>
        <w:rPr>
          <w:szCs w:val="22"/>
        </w:rPr>
        <w:t>Typically issues can be classified into one of three types:</w:t>
      </w:r>
    </w:p>
    <w:p w:rsidR="00192F11" w:rsidRDefault="00192F11" w:rsidP="00A83EB1">
      <w:pPr>
        <w:pStyle w:val="ListParagraph"/>
        <w:numPr>
          <w:ilvl w:val="0"/>
          <w:numId w:val="8"/>
        </w:numPr>
        <w:rPr>
          <w:szCs w:val="22"/>
        </w:rPr>
      </w:pPr>
      <w:r>
        <w:rPr>
          <w:szCs w:val="22"/>
        </w:rPr>
        <w:t xml:space="preserve">A </w:t>
      </w:r>
      <w:r w:rsidRPr="00192F11">
        <w:rPr>
          <w:i/>
          <w:szCs w:val="22"/>
        </w:rPr>
        <w:t>previously identified risk</w:t>
      </w:r>
      <w:r>
        <w:rPr>
          <w:szCs w:val="22"/>
        </w:rPr>
        <w:t xml:space="preserve"> which has now happened and required the appropriate risk management action;</w:t>
      </w:r>
    </w:p>
    <w:p w:rsidR="00192F11" w:rsidRDefault="00192F11" w:rsidP="00A83EB1">
      <w:pPr>
        <w:pStyle w:val="ListParagraph"/>
        <w:numPr>
          <w:ilvl w:val="0"/>
          <w:numId w:val="8"/>
        </w:numPr>
        <w:rPr>
          <w:szCs w:val="22"/>
        </w:rPr>
      </w:pPr>
      <w:r>
        <w:rPr>
          <w:szCs w:val="22"/>
        </w:rPr>
        <w:t xml:space="preserve">A required </w:t>
      </w:r>
      <w:r w:rsidRPr="00192F11">
        <w:rPr>
          <w:i/>
          <w:szCs w:val="22"/>
        </w:rPr>
        <w:t>change</w:t>
      </w:r>
      <w:r>
        <w:rPr>
          <w:szCs w:val="22"/>
        </w:rPr>
        <w:t xml:space="preserve"> to some aspect of the programme, project or work package;</w:t>
      </w:r>
    </w:p>
    <w:p w:rsidR="00192F11" w:rsidRPr="00192F11" w:rsidRDefault="00192F11" w:rsidP="00A83EB1">
      <w:pPr>
        <w:pStyle w:val="ListParagraph"/>
        <w:numPr>
          <w:ilvl w:val="0"/>
          <w:numId w:val="8"/>
        </w:numPr>
        <w:rPr>
          <w:szCs w:val="22"/>
        </w:rPr>
      </w:pPr>
      <w:r>
        <w:rPr>
          <w:szCs w:val="22"/>
        </w:rPr>
        <w:t xml:space="preserve">A </w:t>
      </w:r>
      <w:r w:rsidRPr="00192F11">
        <w:rPr>
          <w:i/>
          <w:szCs w:val="22"/>
        </w:rPr>
        <w:t>general issue</w:t>
      </w:r>
      <w:r>
        <w:rPr>
          <w:szCs w:val="22"/>
        </w:rPr>
        <w:t xml:space="preserve"> such as a problem or question affecting all or part of the programme.</w:t>
      </w:r>
    </w:p>
    <w:p w:rsidR="007418A5" w:rsidRDefault="00192F11" w:rsidP="00192F11">
      <w:pPr>
        <w:pStyle w:val="Heading2"/>
      </w:pPr>
      <w:r>
        <w:t>Issue Priority</w:t>
      </w:r>
    </w:p>
    <w:p w:rsidR="00192F11" w:rsidRDefault="00192F11" w:rsidP="00192F11">
      <w:r>
        <w:t xml:space="preserve">Issues will be prioritised to focus attention on key issues. Some issues </w:t>
      </w:r>
      <w:r w:rsidR="0025501B">
        <w:t xml:space="preserve">may impact the programme as a whole and these will be given a high priority because of the need to consider the wider implications of any management action or intervention. </w:t>
      </w:r>
    </w:p>
    <w:p w:rsidR="0025501B" w:rsidRDefault="0025501B" w:rsidP="0025501B">
      <w:pPr>
        <w:pStyle w:val="Heading2"/>
      </w:pPr>
      <w:r>
        <w:t>Issue Resolution</w:t>
      </w:r>
    </w:p>
    <w:p w:rsidR="0025501B" w:rsidRDefault="0025501B" w:rsidP="00192F11">
      <w:r>
        <w:t>Issues will result in four types of action:</w:t>
      </w:r>
    </w:p>
    <w:p w:rsidR="0025501B" w:rsidRDefault="0025501B" w:rsidP="00A83EB1">
      <w:pPr>
        <w:pStyle w:val="ListParagraph"/>
        <w:numPr>
          <w:ilvl w:val="0"/>
          <w:numId w:val="9"/>
        </w:numPr>
      </w:pPr>
      <w:r>
        <w:t xml:space="preserve">A </w:t>
      </w:r>
      <w:r w:rsidRPr="0025501B">
        <w:rPr>
          <w:i/>
        </w:rPr>
        <w:t>change request</w:t>
      </w:r>
      <w:r>
        <w:t>, which will be actioned as part of the change control process;</w:t>
      </w:r>
    </w:p>
    <w:p w:rsidR="0025501B" w:rsidRDefault="0025501B" w:rsidP="00A83EB1">
      <w:pPr>
        <w:pStyle w:val="ListParagraph"/>
        <w:numPr>
          <w:ilvl w:val="0"/>
          <w:numId w:val="9"/>
        </w:numPr>
      </w:pPr>
      <w:r>
        <w:t xml:space="preserve">A </w:t>
      </w:r>
      <w:r w:rsidRPr="0025501B">
        <w:rPr>
          <w:i/>
        </w:rPr>
        <w:t>transfer</w:t>
      </w:r>
      <w:r>
        <w:t xml:space="preserve"> – a future risk will be moved to the appropriate risk register and managed under the risk management framework. Sometimes a resolved issue may result in a residual risk if the issue reoccurred. In this case, the issue will be transferred to the appropriate risk register once it has been resolved;</w:t>
      </w:r>
    </w:p>
    <w:p w:rsidR="0025501B" w:rsidRDefault="0025501B" w:rsidP="00A83EB1">
      <w:pPr>
        <w:pStyle w:val="ListParagraph"/>
        <w:numPr>
          <w:ilvl w:val="0"/>
          <w:numId w:val="9"/>
        </w:numPr>
      </w:pPr>
      <w:r w:rsidRPr="0025501B">
        <w:rPr>
          <w:i/>
        </w:rPr>
        <w:t>Resolved</w:t>
      </w:r>
      <w:r>
        <w:t xml:space="preserve"> within the programme or project tolerances;</w:t>
      </w:r>
    </w:p>
    <w:p w:rsidR="0025501B" w:rsidRDefault="0025501B" w:rsidP="00A83EB1">
      <w:pPr>
        <w:pStyle w:val="ListParagraph"/>
        <w:numPr>
          <w:ilvl w:val="0"/>
          <w:numId w:val="9"/>
        </w:numPr>
      </w:pPr>
      <w:r w:rsidRPr="0025501B">
        <w:rPr>
          <w:i/>
        </w:rPr>
        <w:t>Escalated</w:t>
      </w:r>
      <w:r>
        <w:t xml:space="preserve"> to the LINC Programme Board, NHSW Senior Management Team or the NHS Wales Collaborative Executive Group, as appropriate.</w:t>
      </w:r>
    </w:p>
    <w:p w:rsidR="0025501B" w:rsidRDefault="0025501B" w:rsidP="0025501B">
      <w:pPr>
        <w:pStyle w:val="Heading2"/>
      </w:pPr>
      <w:r>
        <w:t>Issue Owner</w:t>
      </w:r>
    </w:p>
    <w:p w:rsidR="0025501B" w:rsidRDefault="0025501B" w:rsidP="0025501B">
      <w:r>
        <w:t>As with risks</w:t>
      </w:r>
      <w:r w:rsidR="001C027B">
        <w:t xml:space="preserve">, issue </w:t>
      </w:r>
      <w:r w:rsidR="001C027B">
        <w:rPr>
          <w:color w:val="000000" w:themeColor="text1"/>
          <w:szCs w:val="22"/>
        </w:rPr>
        <w:t>management is primarily the responsibility of the Programme and Project Managers</w:t>
      </w:r>
      <w:r w:rsidR="001C027B">
        <w:t xml:space="preserve">.  However, each issue will be assigned to the individual who is best placed to take or mange the necessary actions and monitor their effectiveness. </w:t>
      </w:r>
    </w:p>
    <w:p w:rsidR="00533285" w:rsidRDefault="00533285" w:rsidP="00533285">
      <w:pPr>
        <w:pStyle w:val="Heading2"/>
      </w:pPr>
      <w:r>
        <w:lastRenderedPageBreak/>
        <w:t>Issue Communications</w:t>
      </w:r>
    </w:p>
    <w:p w:rsidR="00533285" w:rsidRDefault="00533285" w:rsidP="0025501B">
      <w:r>
        <w:t xml:space="preserve">Relevant stakeholders should be engaged and kept informed throughout the resolution process and feedback provided to the source. </w:t>
      </w:r>
    </w:p>
    <w:p w:rsidR="00533285" w:rsidRDefault="00533285" w:rsidP="00533285">
      <w:pPr>
        <w:pStyle w:val="Heading2"/>
      </w:pPr>
      <w:r>
        <w:t>Issue Register</w:t>
      </w:r>
    </w:p>
    <w:p w:rsidR="00533285" w:rsidRDefault="00533285" w:rsidP="0025501B">
      <w:r>
        <w:t>There will be a separate issue register for the programme as a whole, for each project and within each work package. The PMO will maintain the issue registers, which are used to capture and actively manage issues.  The PMO will review the register monthly, or more frequently if required, and follow up with the issue owner or actioner to monitor progress and agree any follow up actions required. The aim will be to clear straight forward issues as quickly as possible at the same time as ensuring critical risks are given priority.</w:t>
      </w:r>
    </w:p>
    <w:p w:rsidR="00533285" w:rsidRDefault="00533285" w:rsidP="0025501B">
      <w:r>
        <w:t>There will be a separate issue log for the programme, each project and work package but all registers will be consistent and comprise:</w:t>
      </w:r>
    </w:p>
    <w:p w:rsidR="00533285" w:rsidRDefault="00533285" w:rsidP="00A83EB1">
      <w:pPr>
        <w:pStyle w:val="ListParagraph"/>
        <w:numPr>
          <w:ilvl w:val="0"/>
          <w:numId w:val="10"/>
        </w:numPr>
      </w:pPr>
      <w:r>
        <w:t xml:space="preserve">A </w:t>
      </w:r>
      <w:r w:rsidRPr="00191148">
        <w:rPr>
          <w:i/>
        </w:rPr>
        <w:t>unique reference</w:t>
      </w:r>
      <w:r>
        <w:t xml:space="preserve"> for each </w:t>
      </w:r>
      <w:r w:rsidR="00C309D8">
        <w:t xml:space="preserve">issue </w:t>
      </w:r>
      <w:r>
        <w:t xml:space="preserve">identified, the </w:t>
      </w:r>
      <w:r w:rsidRPr="004A3472">
        <w:rPr>
          <w:i/>
        </w:rPr>
        <w:t>date raised</w:t>
      </w:r>
      <w:r>
        <w:t xml:space="preserve"> and</w:t>
      </w:r>
      <w:r w:rsidRPr="004A3472">
        <w:t xml:space="preserve"> by</w:t>
      </w:r>
      <w:r w:rsidRPr="004A3472">
        <w:rPr>
          <w:i/>
        </w:rPr>
        <w:t xml:space="preserve"> whom</w:t>
      </w:r>
      <w:r>
        <w:t>;</w:t>
      </w:r>
    </w:p>
    <w:p w:rsidR="00533285" w:rsidRDefault="00533285" w:rsidP="00A83EB1">
      <w:pPr>
        <w:pStyle w:val="ListParagraph"/>
        <w:numPr>
          <w:ilvl w:val="0"/>
          <w:numId w:val="10"/>
        </w:numPr>
      </w:pPr>
      <w:r>
        <w:t xml:space="preserve">A </w:t>
      </w:r>
      <w:r w:rsidRPr="00191148">
        <w:rPr>
          <w:i/>
        </w:rPr>
        <w:t>description</w:t>
      </w:r>
      <w:r>
        <w:t xml:space="preserve"> of the </w:t>
      </w:r>
      <w:r w:rsidR="00C309D8">
        <w:t>issue</w:t>
      </w:r>
      <w:r>
        <w:t>;</w:t>
      </w:r>
    </w:p>
    <w:p w:rsidR="00533285" w:rsidRDefault="00533285" w:rsidP="00A83EB1">
      <w:pPr>
        <w:pStyle w:val="ListParagraph"/>
        <w:numPr>
          <w:ilvl w:val="0"/>
          <w:numId w:val="10"/>
        </w:numPr>
      </w:pPr>
      <w:r>
        <w:t xml:space="preserve">The </w:t>
      </w:r>
      <w:r w:rsidR="00C309D8">
        <w:rPr>
          <w:i/>
        </w:rPr>
        <w:t>issue</w:t>
      </w:r>
      <w:r w:rsidRPr="004D456B">
        <w:rPr>
          <w:i/>
        </w:rPr>
        <w:t xml:space="preserve"> rating</w:t>
      </w:r>
      <w:r>
        <w:t xml:space="preserve">: </w:t>
      </w:r>
      <w:r w:rsidR="00C309D8">
        <w:t>low, medium, high or critical</w:t>
      </w:r>
      <w:r>
        <w:t>.</w:t>
      </w:r>
    </w:p>
    <w:p w:rsidR="00533285" w:rsidRDefault="00533285" w:rsidP="00A83EB1">
      <w:pPr>
        <w:pStyle w:val="ListParagraph"/>
        <w:numPr>
          <w:ilvl w:val="0"/>
          <w:numId w:val="10"/>
        </w:numPr>
      </w:pPr>
      <w:r>
        <w:t xml:space="preserve">The </w:t>
      </w:r>
      <w:r w:rsidRPr="004D456B">
        <w:rPr>
          <w:i/>
        </w:rPr>
        <w:t>change</w:t>
      </w:r>
      <w:r>
        <w:t xml:space="preserve"> since the last review: worsened, no change or improved;</w:t>
      </w:r>
    </w:p>
    <w:p w:rsidR="00C309D8" w:rsidRDefault="00C309D8" w:rsidP="00A83EB1">
      <w:pPr>
        <w:pStyle w:val="ListParagraph"/>
        <w:numPr>
          <w:ilvl w:val="0"/>
          <w:numId w:val="10"/>
        </w:numPr>
      </w:pPr>
      <w:r>
        <w:t xml:space="preserve">The </w:t>
      </w:r>
      <w:r>
        <w:rPr>
          <w:i/>
        </w:rPr>
        <w:t>issue</w:t>
      </w:r>
      <w:r w:rsidRPr="00BB5F5A">
        <w:rPr>
          <w:i/>
        </w:rPr>
        <w:t xml:space="preserve"> owner</w:t>
      </w:r>
      <w:r>
        <w:t>;</w:t>
      </w:r>
    </w:p>
    <w:p w:rsidR="00533285" w:rsidRDefault="00533285" w:rsidP="00A83EB1">
      <w:pPr>
        <w:pStyle w:val="ListParagraph"/>
        <w:numPr>
          <w:ilvl w:val="0"/>
          <w:numId w:val="10"/>
        </w:numPr>
      </w:pPr>
      <w:r>
        <w:t xml:space="preserve">The </w:t>
      </w:r>
      <w:r w:rsidR="00C309D8">
        <w:rPr>
          <w:i/>
        </w:rPr>
        <w:t>issue</w:t>
      </w:r>
      <w:r>
        <w:t xml:space="preserve"> status: open, closed or transferred;</w:t>
      </w:r>
    </w:p>
    <w:p w:rsidR="00C309D8" w:rsidRDefault="00C309D8" w:rsidP="00A83EB1">
      <w:pPr>
        <w:pStyle w:val="ListParagraph"/>
        <w:numPr>
          <w:ilvl w:val="0"/>
          <w:numId w:val="10"/>
        </w:numPr>
      </w:pPr>
      <w:r>
        <w:t xml:space="preserve">The </w:t>
      </w:r>
      <w:r w:rsidRPr="00FB5A08">
        <w:rPr>
          <w:i/>
        </w:rPr>
        <w:t xml:space="preserve">date </w:t>
      </w:r>
      <w:r>
        <w:t xml:space="preserve">of the last review and the </w:t>
      </w:r>
      <w:r w:rsidRPr="00FB5A08">
        <w:rPr>
          <w:i/>
        </w:rPr>
        <w:t>reviewer</w:t>
      </w:r>
      <w:r>
        <w:t>;</w:t>
      </w:r>
    </w:p>
    <w:p w:rsidR="00C309D8" w:rsidRDefault="00C309D8" w:rsidP="00A83EB1">
      <w:pPr>
        <w:pStyle w:val="ListParagraph"/>
        <w:numPr>
          <w:ilvl w:val="0"/>
          <w:numId w:val="10"/>
        </w:numPr>
      </w:pPr>
      <w:r>
        <w:t xml:space="preserve">Any </w:t>
      </w:r>
      <w:r w:rsidRPr="006B16CB">
        <w:rPr>
          <w:i/>
        </w:rPr>
        <w:t>related risks and issues</w:t>
      </w:r>
    </w:p>
    <w:p w:rsidR="00533285" w:rsidRDefault="00533285" w:rsidP="00A83EB1">
      <w:pPr>
        <w:pStyle w:val="ListParagraph"/>
        <w:numPr>
          <w:ilvl w:val="0"/>
          <w:numId w:val="10"/>
        </w:numPr>
      </w:pPr>
      <w:r>
        <w:t xml:space="preserve">The </w:t>
      </w:r>
      <w:r w:rsidR="00E7405B">
        <w:rPr>
          <w:i/>
        </w:rPr>
        <w:t>proposed</w:t>
      </w:r>
      <w:r w:rsidRPr="00E62F31">
        <w:rPr>
          <w:i/>
        </w:rPr>
        <w:t xml:space="preserve"> action</w:t>
      </w:r>
      <w:r>
        <w:t>;</w:t>
      </w:r>
    </w:p>
    <w:p w:rsidR="00533285" w:rsidRDefault="00533285" w:rsidP="00A83EB1">
      <w:pPr>
        <w:pStyle w:val="ListParagraph"/>
        <w:numPr>
          <w:ilvl w:val="0"/>
          <w:numId w:val="10"/>
        </w:numPr>
      </w:pPr>
      <w:r w:rsidRPr="00E62F31">
        <w:rPr>
          <w:i/>
        </w:rPr>
        <w:t>Progress updates</w:t>
      </w:r>
      <w:r>
        <w:t xml:space="preserve"> as a minimum monthly or as they occur for more frequent reporting as required.</w:t>
      </w:r>
    </w:p>
    <w:p w:rsidR="00533285" w:rsidRDefault="00533285" w:rsidP="0025501B"/>
    <w:p w:rsidR="00533285" w:rsidRDefault="00533285" w:rsidP="0025501B"/>
    <w:p w:rsidR="00533285" w:rsidRDefault="00533285" w:rsidP="0025501B">
      <w:r>
        <w:t xml:space="preserve"> </w:t>
      </w:r>
    </w:p>
    <w:p w:rsidR="00533285" w:rsidRDefault="00533285" w:rsidP="0025501B"/>
    <w:p w:rsidR="002A6462" w:rsidRPr="0087598D" w:rsidRDefault="002A6462" w:rsidP="002A6462"/>
    <w:p w:rsidR="00C5547A" w:rsidRDefault="00C5547A" w:rsidP="00C5547A">
      <w:pPr>
        <w:rPr>
          <w:b/>
          <w:color w:val="244061" w:themeColor="accent1" w:themeShade="80"/>
          <w:sz w:val="28"/>
          <w:szCs w:val="28"/>
        </w:rPr>
      </w:pPr>
    </w:p>
    <w:p w:rsidR="007418A5" w:rsidRPr="00C5547A" w:rsidRDefault="007418A5" w:rsidP="00C5547A">
      <w:pPr>
        <w:rPr>
          <w:color w:val="000000" w:themeColor="text1"/>
          <w:szCs w:val="22"/>
        </w:rPr>
      </w:pPr>
      <w:r w:rsidRPr="00C5547A">
        <w:rPr>
          <w:color w:val="000000" w:themeColor="text1"/>
          <w:szCs w:val="22"/>
        </w:rPr>
        <w:t xml:space="preserve"> </w:t>
      </w:r>
    </w:p>
    <w:p w:rsidR="005F450D" w:rsidRDefault="005F450D" w:rsidP="00B8196E">
      <w:pPr>
        <w:rPr>
          <w:color w:val="000000" w:themeColor="text1"/>
          <w:szCs w:val="22"/>
        </w:rPr>
        <w:sectPr w:rsidR="005F450D" w:rsidSect="00CF76E7">
          <w:headerReference w:type="default" r:id="rId11"/>
          <w:footerReference w:type="default" r:id="rId12"/>
          <w:headerReference w:type="first" r:id="rId13"/>
          <w:footerReference w:type="first" r:id="rId14"/>
          <w:pgSz w:w="11906" w:h="16838"/>
          <w:pgMar w:top="1440" w:right="1440" w:bottom="1440" w:left="1440" w:header="708" w:footer="708" w:gutter="0"/>
          <w:cols w:space="708"/>
          <w:docGrid w:linePitch="360"/>
        </w:sectPr>
      </w:pPr>
    </w:p>
    <w:p w:rsidR="007418A5" w:rsidRDefault="005F450D" w:rsidP="005F450D">
      <w:pPr>
        <w:pStyle w:val="Heading1"/>
      </w:pPr>
      <w:bookmarkStart w:id="1" w:name="_Appendix_1_NHSWHC"/>
      <w:bookmarkEnd w:id="1"/>
      <w:r>
        <w:lastRenderedPageBreak/>
        <w:t>Appendix 1 NHSWHC Risk Management Guidance</w:t>
      </w:r>
    </w:p>
    <w:p w:rsidR="00555258" w:rsidRDefault="00555258" w:rsidP="00555258">
      <w:pPr>
        <w:pStyle w:val="Heading2"/>
      </w:pPr>
      <w:r w:rsidRPr="00555258">
        <w:t>Risk Description</w:t>
      </w:r>
    </w:p>
    <w:p w:rsidR="00555258" w:rsidRDefault="00555258" w:rsidP="00555258">
      <w:r>
        <w:t>D</w:t>
      </w:r>
      <w:r w:rsidRPr="00555258">
        <w:t>escribe the following:</w:t>
      </w:r>
    </w:p>
    <w:p w:rsidR="00555258" w:rsidRDefault="00555258" w:rsidP="00A83EB1">
      <w:pPr>
        <w:pStyle w:val="ListParagraph"/>
        <w:numPr>
          <w:ilvl w:val="0"/>
          <w:numId w:val="3"/>
        </w:numPr>
      </w:pPr>
      <w:r>
        <w:t>The description or source of something that might happen (e.g. there is a risk funding for project X will cease in 2019);</w:t>
      </w:r>
    </w:p>
    <w:p w:rsidR="00555258" w:rsidRDefault="00555258" w:rsidP="00A83EB1">
      <w:pPr>
        <w:pStyle w:val="ListParagraph"/>
        <w:numPr>
          <w:ilvl w:val="0"/>
          <w:numId w:val="3"/>
        </w:numPr>
      </w:pPr>
      <w:r>
        <w:t>What will cause the risk to occur (e.g. Welsh Government may not fund the project beyond 2019);</w:t>
      </w:r>
    </w:p>
    <w:p w:rsidR="00555258" w:rsidRDefault="00555258" w:rsidP="00A83EB1">
      <w:pPr>
        <w:pStyle w:val="ListParagraph"/>
        <w:numPr>
          <w:ilvl w:val="0"/>
          <w:numId w:val="3"/>
        </w:numPr>
      </w:pPr>
      <w:r>
        <w:t xml:space="preserve">The impact (e.g. the project will not be rolled out to all of Wales and staff will need to be re-deployed). </w:t>
      </w:r>
    </w:p>
    <w:p w:rsidR="00555258" w:rsidRDefault="00555258" w:rsidP="00555258">
      <w:pPr>
        <w:pStyle w:val="Heading2"/>
      </w:pPr>
      <w:r>
        <w:t>Inherent, Current and Target Risk Columns</w:t>
      </w:r>
    </w:p>
    <w:p w:rsidR="005F10FE" w:rsidRDefault="00555258" w:rsidP="00A83EB1">
      <w:pPr>
        <w:pStyle w:val="ListParagraph"/>
        <w:numPr>
          <w:ilvl w:val="0"/>
          <w:numId w:val="7"/>
        </w:numPr>
      </w:pPr>
      <w:r w:rsidRPr="00555258">
        <w:rPr>
          <w:i/>
          <w:noProof/>
          <w:lang w:eastAsia="en-GB"/>
        </w:rPr>
        <w:drawing>
          <wp:anchor distT="0" distB="0" distL="114300" distR="114300" simplePos="0" relativeHeight="251664384" behindDoc="0" locked="0" layoutInCell="1" allowOverlap="1" wp14:anchorId="6AE37690" wp14:editId="7D0C2A3C">
            <wp:simplePos x="0" y="0"/>
            <wp:positionH relativeFrom="column">
              <wp:posOffset>0</wp:posOffset>
            </wp:positionH>
            <wp:positionV relativeFrom="paragraph">
              <wp:posOffset>9505950</wp:posOffset>
            </wp:positionV>
            <wp:extent cx="4019550" cy="3238095"/>
            <wp:effectExtent l="0" t="0" r="0" b="635"/>
            <wp:wrapNone/>
            <wp:docPr id="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15"/>
                    <a:stretch>
                      <a:fillRect/>
                    </a:stretch>
                  </pic:blipFill>
                  <pic:spPr>
                    <a:xfrm>
                      <a:off x="0" y="0"/>
                      <a:ext cx="4019550" cy="3238095"/>
                    </a:xfrm>
                    <a:prstGeom prst="rect">
                      <a:avLst/>
                    </a:prstGeom>
                  </pic:spPr>
                </pic:pic>
              </a:graphicData>
            </a:graphic>
          </wp:anchor>
        </w:drawing>
      </w:r>
      <w:r w:rsidRPr="00555258">
        <w:rPr>
          <w:i/>
          <w:noProof/>
          <w:lang w:eastAsia="en-GB"/>
        </w:rPr>
        <w:drawing>
          <wp:anchor distT="0" distB="0" distL="114300" distR="114300" simplePos="0" relativeHeight="251665408" behindDoc="0" locked="0" layoutInCell="1" allowOverlap="1" wp14:anchorId="0FB1E975" wp14:editId="56BD283F">
            <wp:simplePos x="0" y="0"/>
            <wp:positionH relativeFrom="column">
              <wp:posOffset>152400</wp:posOffset>
            </wp:positionH>
            <wp:positionV relativeFrom="paragraph">
              <wp:posOffset>13277850</wp:posOffset>
            </wp:positionV>
            <wp:extent cx="5191125" cy="3180952"/>
            <wp:effectExtent l="0" t="0" r="0" b="635"/>
            <wp:wrapNone/>
            <wp:docPr id="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pic:cNvPicPr>
                      <a:picLocks noChangeAspect="1"/>
                    </pic:cNvPicPr>
                  </pic:nvPicPr>
                  <pic:blipFill>
                    <a:blip r:embed="rId16"/>
                    <a:stretch>
                      <a:fillRect/>
                    </a:stretch>
                  </pic:blipFill>
                  <pic:spPr>
                    <a:xfrm>
                      <a:off x="0" y="0"/>
                      <a:ext cx="5191125" cy="3180952"/>
                    </a:xfrm>
                    <a:prstGeom prst="rect">
                      <a:avLst/>
                    </a:prstGeom>
                  </pic:spPr>
                </pic:pic>
              </a:graphicData>
            </a:graphic>
          </wp:anchor>
        </w:drawing>
      </w:r>
      <w:r w:rsidRPr="00555258">
        <w:rPr>
          <w:i/>
          <w:noProof/>
          <w:lang w:eastAsia="en-GB"/>
        </w:rPr>
        <w:drawing>
          <wp:anchor distT="0" distB="0" distL="114300" distR="114300" simplePos="0" relativeHeight="251660288" behindDoc="0" locked="0" layoutInCell="1" allowOverlap="1" wp14:anchorId="0CDC1CF0" wp14:editId="2D5652AD">
            <wp:simplePos x="0" y="0"/>
            <wp:positionH relativeFrom="column">
              <wp:posOffset>0</wp:posOffset>
            </wp:positionH>
            <wp:positionV relativeFrom="paragraph">
              <wp:posOffset>13125450</wp:posOffset>
            </wp:positionV>
            <wp:extent cx="5191125" cy="3180952"/>
            <wp:effectExtent l="0" t="0" r="0" b="635"/>
            <wp:wrapNone/>
            <wp:docPr id="1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pic:cNvPicPr>
                      <a:picLocks noChangeAspect="1"/>
                    </pic:cNvPicPr>
                  </pic:nvPicPr>
                  <pic:blipFill>
                    <a:blip r:embed="rId16"/>
                    <a:stretch>
                      <a:fillRect/>
                    </a:stretch>
                  </pic:blipFill>
                  <pic:spPr>
                    <a:xfrm>
                      <a:off x="0" y="0"/>
                      <a:ext cx="5191125" cy="3180952"/>
                    </a:xfrm>
                    <a:prstGeom prst="rect">
                      <a:avLst/>
                    </a:prstGeom>
                  </pic:spPr>
                </pic:pic>
              </a:graphicData>
            </a:graphic>
          </wp:anchor>
        </w:drawing>
      </w:r>
      <w:r w:rsidRPr="00555258">
        <w:rPr>
          <w:i/>
        </w:rPr>
        <w:t>Inherent risk</w:t>
      </w:r>
      <w:r>
        <w:t xml:space="preserve"> – is the risk considered without taking account of any controls. Sometimes called the raw risk score, this is important as it shows the true severity of the risk should it ever be realised;</w:t>
      </w:r>
    </w:p>
    <w:p w:rsidR="00555258" w:rsidRDefault="00555258" w:rsidP="00A83EB1">
      <w:pPr>
        <w:pStyle w:val="ListParagraph"/>
        <w:numPr>
          <w:ilvl w:val="0"/>
          <w:numId w:val="7"/>
        </w:numPr>
      </w:pPr>
      <w:r>
        <w:rPr>
          <w:i/>
          <w:noProof/>
          <w:lang w:eastAsia="en-GB"/>
        </w:rPr>
        <w:t xml:space="preserve">Current (residual) risk </w:t>
      </w:r>
      <w:r>
        <w:t xml:space="preserve">– is the risk, considered with any existing controls taken into account. It will always be lower than the inherent risk </w:t>
      </w:r>
      <w:r w:rsidR="00860581">
        <w:t>and a greater difference between the two scopes means a greater the reliance on the control environment;</w:t>
      </w:r>
    </w:p>
    <w:p w:rsidR="00555258" w:rsidRDefault="00860581" w:rsidP="00A83EB1">
      <w:pPr>
        <w:pStyle w:val="ListParagraph"/>
        <w:numPr>
          <w:ilvl w:val="0"/>
          <w:numId w:val="7"/>
        </w:numPr>
      </w:pPr>
      <w:r w:rsidRPr="00860581">
        <w:rPr>
          <w:i/>
        </w:rPr>
        <w:t>Target risk</w:t>
      </w:r>
      <w:r>
        <w:t xml:space="preserve"> – is the risk that the Risk Owner, having decided to treat the risk, needs to be actively working towards. The score may be the same or lower than the current risk. </w:t>
      </w:r>
    </w:p>
    <w:p w:rsidR="00860581" w:rsidRDefault="00860581" w:rsidP="00860581">
      <w:pPr>
        <w:pStyle w:val="Heading2"/>
      </w:pPr>
      <w:r>
        <w:t>Scoring</w:t>
      </w:r>
    </w:p>
    <w:tbl>
      <w:tblPr>
        <w:tblStyle w:val="TableGrid"/>
        <w:tblW w:w="0" w:type="auto"/>
        <w:tblLook w:val="04A0" w:firstRow="1" w:lastRow="0" w:firstColumn="1" w:lastColumn="0" w:noHBand="0" w:noVBand="1"/>
      </w:tblPr>
      <w:tblGrid>
        <w:gridCol w:w="4508"/>
        <w:gridCol w:w="4508"/>
      </w:tblGrid>
      <w:tr w:rsidR="00860581" w:rsidRPr="00860581" w:rsidTr="00860581">
        <w:tc>
          <w:tcPr>
            <w:tcW w:w="4508" w:type="dxa"/>
          </w:tcPr>
          <w:p w:rsidR="00860581" w:rsidRPr="00860581" w:rsidRDefault="00860581" w:rsidP="00860581">
            <w:pPr>
              <w:spacing w:after="40"/>
              <w:rPr>
                <w:b/>
              </w:rPr>
            </w:pPr>
            <w:r w:rsidRPr="00860581">
              <w:rPr>
                <w:b/>
              </w:rPr>
              <w:t xml:space="preserve">Impact </w:t>
            </w:r>
          </w:p>
        </w:tc>
        <w:tc>
          <w:tcPr>
            <w:tcW w:w="4508" w:type="dxa"/>
          </w:tcPr>
          <w:p w:rsidR="00860581" w:rsidRPr="00860581" w:rsidRDefault="00860581" w:rsidP="00860581">
            <w:pPr>
              <w:spacing w:after="40"/>
              <w:rPr>
                <w:b/>
              </w:rPr>
            </w:pPr>
            <w:r w:rsidRPr="00860581">
              <w:rPr>
                <w:b/>
              </w:rPr>
              <w:t>Likelihood</w:t>
            </w:r>
          </w:p>
        </w:tc>
      </w:tr>
      <w:tr w:rsidR="00860581" w:rsidTr="00860581">
        <w:tc>
          <w:tcPr>
            <w:tcW w:w="4508" w:type="dxa"/>
          </w:tcPr>
          <w:p w:rsidR="00860581" w:rsidRDefault="002072E3" w:rsidP="00860581">
            <w:pPr>
              <w:spacing w:before="40" w:after="40"/>
            </w:pPr>
            <w:r>
              <w:t>Negligible</w:t>
            </w:r>
            <w:r w:rsidR="00860581">
              <w:tab/>
            </w:r>
            <w:r w:rsidR="00860581">
              <w:tab/>
              <w:t>1</w:t>
            </w:r>
          </w:p>
          <w:p w:rsidR="00860581" w:rsidRDefault="002072E3" w:rsidP="00860581">
            <w:pPr>
              <w:spacing w:before="40" w:after="40"/>
            </w:pPr>
            <w:r>
              <w:t>Minor</w:t>
            </w:r>
            <w:r>
              <w:tab/>
            </w:r>
            <w:r w:rsidR="00860581">
              <w:tab/>
            </w:r>
            <w:r w:rsidR="00860581">
              <w:tab/>
              <w:t xml:space="preserve">2 </w:t>
            </w:r>
          </w:p>
          <w:p w:rsidR="00860581" w:rsidRDefault="002072E3" w:rsidP="00860581">
            <w:pPr>
              <w:spacing w:before="40" w:after="40"/>
            </w:pPr>
            <w:r>
              <w:t>Moderate</w:t>
            </w:r>
            <w:r w:rsidR="00860581">
              <w:t xml:space="preserve"> </w:t>
            </w:r>
            <w:r w:rsidR="00860581">
              <w:tab/>
            </w:r>
            <w:r w:rsidR="00860581">
              <w:tab/>
              <w:t>3</w:t>
            </w:r>
          </w:p>
          <w:p w:rsidR="00860581" w:rsidRDefault="002072E3" w:rsidP="00860581">
            <w:pPr>
              <w:spacing w:before="40" w:after="40"/>
            </w:pPr>
            <w:r>
              <w:t>Major</w:t>
            </w:r>
            <w:r>
              <w:tab/>
            </w:r>
            <w:r w:rsidR="00860581">
              <w:tab/>
            </w:r>
            <w:r w:rsidR="00860581">
              <w:tab/>
              <w:t>4</w:t>
            </w:r>
          </w:p>
          <w:p w:rsidR="00860581" w:rsidRDefault="002072E3" w:rsidP="00860581">
            <w:pPr>
              <w:spacing w:before="40" w:after="40"/>
            </w:pPr>
            <w:r>
              <w:t>Critical</w:t>
            </w:r>
            <w:r w:rsidR="00860581">
              <w:tab/>
            </w:r>
            <w:r w:rsidR="00860581">
              <w:tab/>
              <w:t>5</w:t>
            </w:r>
          </w:p>
        </w:tc>
        <w:tc>
          <w:tcPr>
            <w:tcW w:w="4508" w:type="dxa"/>
          </w:tcPr>
          <w:p w:rsidR="00860581" w:rsidRDefault="002072E3" w:rsidP="00860581">
            <w:pPr>
              <w:spacing w:before="40" w:after="40"/>
            </w:pPr>
            <w:r>
              <w:t>Rare</w:t>
            </w:r>
            <w:r w:rsidR="00860581">
              <w:tab/>
            </w:r>
            <w:r w:rsidR="00860581">
              <w:tab/>
            </w:r>
            <w:r w:rsidR="00860581">
              <w:tab/>
              <w:t>1</w:t>
            </w:r>
          </w:p>
          <w:p w:rsidR="00860581" w:rsidRDefault="002072E3" w:rsidP="00860581">
            <w:pPr>
              <w:spacing w:before="40" w:after="40"/>
            </w:pPr>
            <w:r>
              <w:t>Unlikely</w:t>
            </w:r>
            <w:r w:rsidR="00860581">
              <w:tab/>
            </w:r>
            <w:r w:rsidR="00860581">
              <w:tab/>
              <w:t xml:space="preserve">2 </w:t>
            </w:r>
          </w:p>
          <w:p w:rsidR="00860581" w:rsidRDefault="002072E3" w:rsidP="00860581">
            <w:pPr>
              <w:spacing w:before="40" w:after="40"/>
            </w:pPr>
            <w:r>
              <w:t>Likely</w:t>
            </w:r>
            <w:r>
              <w:tab/>
            </w:r>
            <w:r w:rsidR="00860581">
              <w:tab/>
            </w:r>
            <w:r w:rsidR="00860581">
              <w:tab/>
              <w:t>3</w:t>
            </w:r>
          </w:p>
          <w:p w:rsidR="00860581" w:rsidRDefault="002072E3" w:rsidP="00860581">
            <w:pPr>
              <w:spacing w:before="40" w:after="40"/>
            </w:pPr>
            <w:r>
              <w:t>Highly likely</w:t>
            </w:r>
            <w:r w:rsidR="00860581">
              <w:tab/>
            </w:r>
            <w:r w:rsidR="00860581">
              <w:tab/>
              <w:t>4</w:t>
            </w:r>
          </w:p>
          <w:p w:rsidR="00860581" w:rsidRDefault="002072E3" w:rsidP="002072E3">
            <w:pPr>
              <w:spacing w:before="40" w:after="40"/>
            </w:pPr>
            <w:r>
              <w:t>Almost certain</w:t>
            </w:r>
            <w:r w:rsidR="00860581">
              <w:tab/>
              <w:t>5</w:t>
            </w:r>
          </w:p>
        </w:tc>
      </w:tr>
    </w:tbl>
    <w:p w:rsidR="00860581" w:rsidRDefault="00860581" w:rsidP="00860581">
      <w:r>
        <w:t xml:space="preserve">Scores for inherent risk, current (residual) risk, and target risk will each be calculated as Impact x Likelihood e.g. 4x4 = Score of 16. </w:t>
      </w:r>
    </w:p>
    <w:p w:rsidR="00860581" w:rsidRDefault="00860581" w:rsidP="00860581">
      <w:pPr>
        <w:pStyle w:val="Heading2"/>
      </w:pPr>
      <w:r>
        <w:t>RAG Rating</w:t>
      </w:r>
    </w:p>
    <w:p w:rsidR="00860581" w:rsidRDefault="00860581" w:rsidP="00860581">
      <w:r>
        <w:t>Scores a</w:t>
      </w:r>
      <w:r w:rsidR="00E1438C">
        <w:t>re</w:t>
      </w:r>
      <w:r>
        <w:t xml:space="preserve"> RAG rated in accordance with the table below:</w:t>
      </w:r>
    </w:p>
    <w:p w:rsidR="002E1F03" w:rsidRDefault="002E1F03" w:rsidP="002E1F03">
      <w:r>
        <w:t xml:space="preserve">Green </w:t>
      </w:r>
      <w:r w:rsidR="000E4FE4">
        <w:t xml:space="preserve">(low) </w:t>
      </w:r>
      <w:r>
        <w:t>rating:</w:t>
      </w:r>
      <w:r>
        <w:tab/>
        <w:t xml:space="preserve">  1-3</w:t>
      </w:r>
    </w:p>
    <w:p w:rsidR="002E1F03" w:rsidRDefault="000E4FE4" w:rsidP="002E1F03">
      <w:pPr>
        <w:spacing w:before="0"/>
      </w:pPr>
      <w:r>
        <w:t>Amber</w:t>
      </w:r>
      <w:r w:rsidR="002E1F03">
        <w:t xml:space="preserve"> rating: </w:t>
      </w:r>
      <w:r w:rsidR="002E1F03">
        <w:tab/>
        <w:t xml:space="preserve">  4-6</w:t>
      </w:r>
    </w:p>
    <w:p w:rsidR="002E1F03" w:rsidRDefault="002E1F03" w:rsidP="002E1F03">
      <w:pPr>
        <w:spacing w:before="0"/>
      </w:pPr>
      <w:r>
        <w:t xml:space="preserve">Orange rating: </w:t>
      </w:r>
      <w:r>
        <w:tab/>
        <w:t xml:space="preserve">  8-10</w:t>
      </w:r>
    </w:p>
    <w:p w:rsidR="005B63F6" w:rsidRDefault="005B63F6" w:rsidP="002E1F03">
      <w:pPr>
        <w:spacing w:before="0"/>
      </w:pPr>
      <w:r>
        <w:t xml:space="preserve">Red rating: </w:t>
      </w:r>
      <w:r w:rsidR="005F1978">
        <w:tab/>
      </w:r>
      <w:r w:rsidR="005F1978">
        <w:tab/>
      </w:r>
      <w:r>
        <w:t>1</w:t>
      </w:r>
      <w:r w:rsidR="000E4FE4">
        <w:t>5</w:t>
      </w:r>
      <w:r>
        <w:t>-20</w:t>
      </w:r>
    </w:p>
    <w:p w:rsidR="000E4FE4" w:rsidRDefault="000E4FE4" w:rsidP="002E1F03">
      <w:pPr>
        <w:spacing w:before="0"/>
      </w:pPr>
    </w:p>
    <w:p w:rsidR="000E4FE4" w:rsidRDefault="000E4FE4" w:rsidP="002E1F03">
      <w:pPr>
        <w:spacing w:before="0"/>
      </w:pPr>
      <w:r>
        <w:t>Red rating scores of 15 and above are escalated to the NHSWHC Senior Management Team</w:t>
      </w:r>
    </w:p>
    <w:p w:rsidR="005F1978" w:rsidRDefault="005F1978" w:rsidP="005F1978">
      <w:pPr>
        <w:pStyle w:val="Caption"/>
        <w:keepNext/>
      </w:pPr>
      <w:r>
        <w:lastRenderedPageBreak/>
        <w:t xml:space="preserve">Table </w:t>
      </w:r>
      <w:r w:rsidR="007A02BF">
        <w:rPr>
          <w:noProof/>
        </w:rPr>
        <w:fldChar w:fldCharType="begin"/>
      </w:r>
      <w:r w:rsidR="007A02BF">
        <w:rPr>
          <w:noProof/>
        </w:rPr>
        <w:instrText xml:space="preserve"> SEQ Table \* ARABIC </w:instrText>
      </w:r>
      <w:r w:rsidR="007A02BF">
        <w:rPr>
          <w:noProof/>
        </w:rPr>
        <w:fldChar w:fldCharType="separate"/>
      </w:r>
      <w:r w:rsidR="005D7B5E">
        <w:rPr>
          <w:noProof/>
        </w:rPr>
        <w:t>1</w:t>
      </w:r>
      <w:r w:rsidR="007A02BF">
        <w:rPr>
          <w:noProof/>
        </w:rPr>
        <w:fldChar w:fldCharType="end"/>
      </w:r>
      <w:r>
        <w:t>: Risk Score calculated from Likelihood x Impact</w:t>
      </w:r>
    </w:p>
    <w:p w:rsidR="00860581" w:rsidRDefault="005F1978" w:rsidP="00860581">
      <w:r w:rsidRPr="005F1978">
        <w:rPr>
          <w:noProof/>
          <w:lang w:eastAsia="en-GB"/>
        </w:rPr>
        <w:drawing>
          <wp:inline distT="0" distB="0" distL="0" distR="0">
            <wp:extent cx="5731510" cy="1524182"/>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1524182"/>
                    </a:xfrm>
                    <a:prstGeom prst="rect">
                      <a:avLst/>
                    </a:prstGeom>
                    <a:noFill/>
                    <a:ln>
                      <a:noFill/>
                    </a:ln>
                  </pic:spPr>
                </pic:pic>
              </a:graphicData>
            </a:graphic>
          </wp:inline>
        </w:drawing>
      </w:r>
    </w:p>
    <w:sectPr w:rsidR="00860581" w:rsidSect="00CF76E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02BF" w:rsidRDefault="007A02BF" w:rsidP="00300C28">
      <w:pPr>
        <w:spacing w:before="0"/>
      </w:pPr>
      <w:r>
        <w:separator/>
      </w:r>
    </w:p>
  </w:endnote>
  <w:endnote w:type="continuationSeparator" w:id="0">
    <w:p w:rsidR="007A02BF" w:rsidRDefault="007A02BF" w:rsidP="00300C28">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illSans Light">
    <w:altName w:val="GillSans 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07"/>
      <w:gridCol w:w="2346"/>
      <w:gridCol w:w="2973"/>
    </w:tblGrid>
    <w:tr w:rsidR="005620A3" w:rsidRPr="00871F63" w:rsidTr="005620A3">
      <w:tc>
        <w:tcPr>
          <w:tcW w:w="3794" w:type="dxa"/>
        </w:tcPr>
        <w:p w:rsidR="005620A3" w:rsidRPr="00871F63" w:rsidRDefault="005620A3" w:rsidP="00A27AD0">
          <w:pPr>
            <w:pStyle w:val="Footer"/>
            <w:rPr>
              <w:sz w:val="20"/>
            </w:rPr>
          </w:pPr>
          <w:r>
            <w:rPr>
              <w:sz w:val="20"/>
            </w:rPr>
            <w:t>Document: Risk &amp; Issue Strategy</w:t>
          </w:r>
        </w:p>
      </w:tc>
      <w:tc>
        <w:tcPr>
          <w:tcW w:w="2392" w:type="dxa"/>
        </w:tcPr>
        <w:p w:rsidR="005620A3" w:rsidRPr="00871F63" w:rsidRDefault="00226E67" w:rsidP="00226E67">
          <w:pPr>
            <w:pStyle w:val="Footer"/>
            <w:jc w:val="center"/>
            <w:rPr>
              <w:sz w:val="20"/>
            </w:rPr>
          </w:pPr>
          <w:r>
            <w:rPr>
              <w:sz w:val="20"/>
            </w:rPr>
            <w:t>1.0</w:t>
          </w:r>
          <w:r w:rsidR="005620A3" w:rsidRPr="00871F63">
            <w:rPr>
              <w:sz w:val="20"/>
            </w:rPr>
            <w:t xml:space="preserve"> </w:t>
          </w:r>
          <w:r>
            <w:rPr>
              <w:sz w:val="20"/>
            </w:rPr>
            <w:t>Final</w:t>
          </w:r>
        </w:p>
      </w:tc>
      <w:tc>
        <w:tcPr>
          <w:tcW w:w="3056" w:type="dxa"/>
        </w:tcPr>
        <w:p w:rsidR="005620A3" w:rsidRPr="00871F63" w:rsidRDefault="005620A3" w:rsidP="00A27AD0">
          <w:pPr>
            <w:pStyle w:val="Footer"/>
            <w:jc w:val="right"/>
            <w:rPr>
              <w:sz w:val="20"/>
            </w:rPr>
          </w:pPr>
          <w:r w:rsidRPr="00871F63">
            <w:rPr>
              <w:sz w:val="20"/>
            </w:rPr>
            <w:t xml:space="preserve">Page </w:t>
          </w:r>
          <w:r w:rsidRPr="00871F63">
            <w:rPr>
              <w:rStyle w:val="PageNumber"/>
              <w:sz w:val="20"/>
            </w:rPr>
            <w:fldChar w:fldCharType="begin"/>
          </w:r>
          <w:r w:rsidRPr="00871F63">
            <w:rPr>
              <w:rStyle w:val="PageNumber"/>
              <w:sz w:val="20"/>
            </w:rPr>
            <w:instrText xml:space="preserve"> PAGE </w:instrText>
          </w:r>
          <w:r w:rsidRPr="00871F63">
            <w:rPr>
              <w:rStyle w:val="PageNumber"/>
              <w:sz w:val="20"/>
            </w:rPr>
            <w:fldChar w:fldCharType="separate"/>
          </w:r>
          <w:r w:rsidR="005D7B5E">
            <w:rPr>
              <w:rStyle w:val="PageNumber"/>
              <w:noProof/>
              <w:sz w:val="20"/>
            </w:rPr>
            <w:t>9</w:t>
          </w:r>
          <w:r w:rsidRPr="00871F63">
            <w:rPr>
              <w:rStyle w:val="PageNumber"/>
              <w:sz w:val="20"/>
            </w:rPr>
            <w:fldChar w:fldCharType="end"/>
          </w:r>
          <w:r w:rsidRPr="00871F63">
            <w:rPr>
              <w:rStyle w:val="PageNumber"/>
              <w:sz w:val="20"/>
            </w:rPr>
            <w:t xml:space="preserve"> of </w:t>
          </w:r>
          <w:r w:rsidRPr="00871F63">
            <w:rPr>
              <w:rStyle w:val="PageNumber"/>
              <w:noProof/>
              <w:sz w:val="20"/>
            </w:rPr>
            <w:fldChar w:fldCharType="begin"/>
          </w:r>
          <w:r w:rsidRPr="00871F63">
            <w:rPr>
              <w:rStyle w:val="PageNumber"/>
              <w:noProof/>
              <w:sz w:val="20"/>
            </w:rPr>
            <w:instrText xml:space="preserve"> NUMPAGES  \* MERGEFORMAT </w:instrText>
          </w:r>
          <w:r w:rsidRPr="00871F63">
            <w:rPr>
              <w:rStyle w:val="PageNumber"/>
              <w:noProof/>
              <w:sz w:val="20"/>
            </w:rPr>
            <w:fldChar w:fldCharType="separate"/>
          </w:r>
          <w:r w:rsidR="005D7B5E">
            <w:rPr>
              <w:rStyle w:val="PageNumber"/>
              <w:noProof/>
              <w:sz w:val="20"/>
            </w:rPr>
            <w:t>9</w:t>
          </w:r>
          <w:r w:rsidRPr="00871F63">
            <w:rPr>
              <w:rStyle w:val="PageNumber"/>
              <w:noProof/>
              <w:sz w:val="20"/>
            </w:rPr>
            <w:fldChar w:fldCharType="end"/>
          </w:r>
        </w:p>
      </w:tc>
    </w:tr>
    <w:tr w:rsidR="005620A3" w:rsidRPr="00871F63" w:rsidTr="005620A3">
      <w:tc>
        <w:tcPr>
          <w:tcW w:w="3794" w:type="dxa"/>
        </w:tcPr>
        <w:p w:rsidR="005620A3" w:rsidRPr="00871F63" w:rsidRDefault="005620A3" w:rsidP="00416A9E">
          <w:pPr>
            <w:pStyle w:val="Footer"/>
            <w:rPr>
              <w:sz w:val="20"/>
            </w:rPr>
          </w:pPr>
          <w:r w:rsidRPr="00871F63">
            <w:rPr>
              <w:sz w:val="20"/>
            </w:rPr>
            <w:t xml:space="preserve">Author: </w:t>
          </w:r>
          <w:r>
            <w:rPr>
              <w:sz w:val="20"/>
            </w:rPr>
            <w:t>LINC PMO</w:t>
          </w:r>
        </w:p>
      </w:tc>
      <w:tc>
        <w:tcPr>
          <w:tcW w:w="2392" w:type="dxa"/>
        </w:tcPr>
        <w:p w:rsidR="005620A3" w:rsidRPr="00871F63" w:rsidRDefault="00226E67" w:rsidP="00A27AD0">
          <w:pPr>
            <w:pStyle w:val="Footer"/>
            <w:jc w:val="center"/>
            <w:rPr>
              <w:sz w:val="20"/>
            </w:rPr>
          </w:pPr>
          <w:r>
            <w:rPr>
              <w:sz w:val="20"/>
            </w:rPr>
            <w:t>28</w:t>
          </w:r>
          <w:r w:rsidR="005620A3">
            <w:rPr>
              <w:sz w:val="20"/>
            </w:rPr>
            <w:t>-January</w:t>
          </w:r>
          <w:r w:rsidR="005620A3" w:rsidRPr="00871F63">
            <w:rPr>
              <w:sz w:val="20"/>
            </w:rPr>
            <w:t>-2018</w:t>
          </w:r>
        </w:p>
      </w:tc>
      <w:tc>
        <w:tcPr>
          <w:tcW w:w="3056" w:type="dxa"/>
        </w:tcPr>
        <w:p w:rsidR="005620A3" w:rsidRPr="00871F63" w:rsidRDefault="005620A3" w:rsidP="00A27AD0">
          <w:pPr>
            <w:pStyle w:val="Footer"/>
            <w:rPr>
              <w:sz w:val="20"/>
            </w:rPr>
          </w:pPr>
        </w:p>
      </w:tc>
    </w:tr>
  </w:tbl>
  <w:p w:rsidR="005620A3" w:rsidRDefault="005620A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260"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1696"/>
      <w:gridCol w:w="2602"/>
    </w:tblGrid>
    <w:tr w:rsidR="005620A3" w:rsidRPr="00DC7A4F" w:rsidTr="00336A2C">
      <w:tc>
        <w:tcPr>
          <w:tcW w:w="4962" w:type="dxa"/>
        </w:tcPr>
        <w:p w:rsidR="005620A3" w:rsidRPr="00DC7A4F" w:rsidRDefault="005620A3" w:rsidP="00C9705D">
          <w:pPr>
            <w:pStyle w:val="Footer"/>
            <w:rPr>
              <w:sz w:val="20"/>
            </w:rPr>
          </w:pPr>
          <w:r>
            <w:rPr>
              <w:sz w:val="20"/>
            </w:rPr>
            <w:t>Quality Requirements Workshop Notes</w:t>
          </w:r>
        </w:p>
      </w:tc>
      <w:tc>
        <w:tcPr>
          <w:tcW w:w="1696" w:type="dxa"/>
        </w:tcPr>
        <w:p w:rsidR="005620A3" w:rsidRPr="00DC7A4F" w:rsidRDefault="005620A3" w:rsidP="00C9705D">
          <w:pPr>
            <w:pStyle w:val="Footer"/>
            <w:jc w:val="center"/>
            <w:rPr>
              <w:sz w:val="20"/>
            </w:rPr>
          </w:pPr>
          <w:r>
            <w:rPr>
              <w:sz w:val="20"/>
            </w:rPr>
            <w:t>V0.1 Draft</w:t>
          </w:r>
        </w:p>
      </w:tc>
      <w:tc>
        <w:tcPr>
          <w:tcW w:w="2602" w:type="dxa"/>
        </w:tcPr>
        <w:p w:rsidR="005620A3" w:rsidRPr="00DC7A4F" w:rsidRDefault="005620A3" w:rsidP="00C9705D">
          <w:pPr>
            <w:pStyle w:val="Footer"/>
            <w:jc w:val="center"/>
            <w:rPr>
              <w:sz w:val="20"/>
            </w:rPr>
          </w:pPr>
        </w:p>
      </w:tc>
    </w:tr>
    <w:tr w:rsidR="005620A3" w:rsidRPr="00DC7A4F" w:rsidTr="00336A2C">
      <w:tc>
        <w:tcPr>
          <w:tcW w:w="4962" w:type="dxa"/>
        </w:tcPr>
        <w:p w:rsidR="005620A3" w:rsidRPr="00DC7A4F" w:rsidRDefault="005620A3" w:rsidP="00D377AD">
          <w:pPr>
            <w:pStyle w:val="Footer"/>
            <w:rPr>
              <w:sz w:val="20"/>
            </w:rPr>
          </w:pPr>
          <w:r>
            <w:rPr>
              <w:sz w:val="20"/>
            </w:rPr>
            <w:t>Author: Judith Bates</w:t>
          </w:r>
        </w:p>
      </w:tc>
      <w:tc>
        <w:tcPr>
          <w:tcW w:w="1696" w:type="dxa"/>
        </w:tcPr>
        <w:p w:rsidR="005620A3" w:rsidRPr="00DC7A4F" w:rsidRDefault="005620A3" w:rsidP="00C9705D">
          <w:pPr>
            <w:pStyle w:val="Footer"/>
            <w:jc w:val="center"/>
            <w:rPr>
              <w:sz w:val="20"/>
            </w:rPr>
          </w:pPr>
          <w:r>
            <w:rPr>
              <w:sz w:val="20"/>
            </w:rPr>
            <w:t>3-May-2018</w:t>
          </w:r>
        </w:p>
      </w:tc>
      <w:tc>
        <w:tcPr>
          <w:tcW w:w="2602" w:type="dxa"/>
        </w:tcPr>
        <w:p w:rsidR="005620A3" w:rsidRPr="00DC7A4F" w:rsidRDefault="005620A3" w:rsidP="00C9705D">
          <w:pPr>
            <w:pStyle w:val="Footer"/>
            <w:jc w:val="center"/>
            <w:rPr>
              <w:sz w:val="20"/>
            </w:rPr>
          </w:pPr>
          <w:r>
            <w:rPr>
              <w:sz w:val="20"/>
            </w:rPr>
            <w:t xml:space="preserve">Page </w:t>
          </w:r>
          <w:r w:rsidRPr="00B67C13">
            <w:rPr>
              <w:sz w:val="20"/>
            </w:rPr>
            <w:fldChar w:fldCharType="begin"/>
          </w:r>
          <w:r w:rsidRPr="00B67C13">
            <w:rPr>
              <w:sz w:val="20"/>
            </w:rPr>
            <w:instrText xml:space="preserve"> PAGE   \* MERGEFORMAT </w:instrText>
          </w:r>
          <w:r w:rsidRPr="00B67C13">
            <w:rPr>
              <w:sz w:val="20"/>
            </w:rPr>
            <w:fldChar w:fldCharType="separate"/>
          </w:r>
          <w:r>
            <w:rPr>
              <w:noProof/>
              <w:sz w:val="20"/>
            </w:rPr>
            <w:t>5</w:t>
          </w:r>
          <w:r w:rsidRPr="00B67C13">
            <w:rPr>
              <w:noProof/>
              <w:sz w:val="20"/>
            </w:rPr>
            <w:fldChar w:fldCharType="end"/>
          </w:r>
        </w:p>
      </w:tc>
    </w:tr>
  </w:tbl>
  <w:p w:rsidR="005620A3" w:rsidRDefault="005620A3" w:rsidP="00C970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02BF" w:rsidRDefault="007A02BF" w:rsidP="00300C28">
      <w:pPr>
        <w:spacing w:before="0"/>
      </w:pPr>
      <w:r>
        <w:separator/>
      </w:r>
    </w:p>
  </w:footnote>
  <w:footnote w:type="continuationSeparator" w:id="0">
    <w:p w:rsidR="007A02BF" w:rsidRDefault="007A02BF" w:rsidP="00300C28">
      <w:pPr>
        <w:spacing w:before="0"/>
      </w:pPr>
      <w:r>
        <w:continuationSeparator/>
      </w:r>
    </w:p>
  </w:footnote>
  <w:footnote w:id="1">
    <w:p w:rsidR="005620A3" w:rsidRDefault="005620A3">
      <w:pPr>
        <w:pStyle w:val="FootnoteText"/>
      </w:pPr>
      <w:r>
        <w:rPr>
          <w:rStyle w:val="FootnoteReference"/>
        </w:rPr>
        <w:footnoteRef/>
      </w:r>
      <w:r>
        <w:t xml:space="preserve"> Arrangements for risk management in the Collaborative, 4 May 2018</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20A3" w:rsidRDefault="005620A3" w:rsidP="00E07E3F">
    <w:pPr>
      <w:pStyle w:val="Header"/>
      <w:jc w:val="center"/>
    </w:pPr>
    <w:r>
      <w:rPr>
        <w:noProof/>
        <w:lang w:eastAsia="en-GB"/>
      </w:rPr>
      <w:drawing>
        <wp:inline distT="0" distB="0" distL="0" distR="0" wp14:anchorId="5B20B302" wp14:editId="10802FF7">
          <wp:extent cx="5130241" cy="1393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12.png"/>
                  <pic:cNvPicPr/>
                </pic:nvPicPr>
                <pic:blipFill>
                  <a:blip r:embed="rId1">
                    <a:extLst>
                      <a:ext uri="{28A0092B-C50C-407E-A947-70E740481C1C}">
                        <a14:useLocalDpi xmlns:a14="http://schemas.microsoft.com/office/drawing/2010/main" val="0"/>
                      </a:ext>
                    </a:extLst>
                  </a:blip>
                  <a:stretch>
                    <a:fillRect/>
                  </a:stretch>
                </pic:blipFill>
                <pic:spPr>
                  <a:xfrm>
                    <a:off x="0" y="0"/>
                    <a:ext cx="5130241" cy="13932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20A3" w:rsidRDefault="005D7B5E">
    <w:pPr>
      <w:pStyle w:val="Header"/>
    </w:pPr>
    <w:sdt>
      <w:sdtPr>
        <w:id w:val="1052496368"/>
        <w:docPartObj>
          <w:docPartGallery w:val="Watermarks"/>
          <w:docPartUnique/>
        </w:docPartObj>
      </w:sdtPr>
      <w:sdtEndPr/>
      <w:sdtContent>
        <w:r>
          <w:rPr>
            <w:noProof/>
            <w:lang w:val="en-US" w:eastAsia="zh-TW"/>
          </w:rPr>
          <w:pict w14:anchorId="21CA0F1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5620A3">
      <w:rPr>
        <w:noProof/>
        <w:lang w:eastAsia="en-GB"/>
      </w:rPr>
      <w:drawing>
        <wp:inline distT="0" distB="0" distL="0" distR="0" wp14:anchorId="5FB14C41" wp14:editId="2FC73939">
          <wp:extent cx="5731510" cy="153043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srcRect/>
                  <a:stretch>
                    <a:fillRect/>
                  </a:stretch>
                </pic:blipFill>
                <pic:spPr bwMode="auto">
                  <a:xfrm>
                    <a:off x="0" y="0"/>
                    <a:ext cx="5731510" cy="1530433"/>
                  </a:xfrm>
                  <a:prstGeom prst="rect">
                    <a:avLst/>
                  </a:prstGeom>
                  <a:noFill/>
                  <a:ln w="9525">
                    <a:noFill/>
                    <a:miter lim="800000"/>
                    <a:headEnd/>
                    <a:tailEnd/>
                  </a:ln>
                </pic:spPr>
              </pic:pic>
            </a:graphicData>
          </a:graphic>
        </wp:inline>
      </w:drawing>
    </w:r>
  </w:p>
  <w:p w:rsidR="005620A3" w:rsidRDefault="005620A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1"/>
      <w:gridCol w:w="4505"/>
    </w:tblGrid>
    <w:tr w:rsidR="005620A3" w:rsidTr="005620A3">
      <w:tc>
        <w:tcPr>
          <w:tcW w:w="4845" w:type="dxa"/>
        </w:tcPr>
        <w:p w:rsidR="005620A3" w:rsidRDefault="005620A3" w:rsidP="00A27AD0">
          <w:pPr>
            <w:pStyle w:val="Header"/>
          </w:pPr>
          <w:r>
            <w:t>NHS Wales Health Collaborative</w:t>
          </w:r>
        </w:p>
      </w:tc>
      <w:tc>
        <w:tcPr>
          <w:tcW w:w="4846" w:type="dxa"/>
        </w:tcPr>
        <w:p w:rsidR="005620A3" w:rsidRDefault="005620A3" w:rsidP="00A27AD0">
          <w:pPr>
            <w:pStyle w:val="Header"/>
            <w:jc w:val="right"/>
          </w:pPr>
          <w:r>
            <w:t>LINC Programme</w:t>
          </w:r>
        </w:p>
      </w:tc>
    </w:tr>
  </w:tbl>
  <w:p w:rsidR="005620A3" w:rsidRDefault="005620A3" w:rsidP="00E07E3F">
    <w:pPr>
      <w:pStyle w:val="Header"/>
      <w:jc w:val="cent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2"/>
      <w:gridCol w:w="4504"/>
    </w:tblGrid>
    <w:tr w:rsidR="005620A3" w:rsidTr="00094C55">
      <w:tc>
        <w:tcPr>
          <w:tcW w:w="4845" w:type="dxa"/>
        </w:tcPr>
        <w:p w:rsidR="005620A3" w:rsidRDefault="005620A3" w:rsidP="00E90ECD">
          <w:pPr>
            <w:pStyle w:val="Header"/>
          </w:pPr>
          <w:r>
            <w:t>NHS Wales Health Collaborative</w:t>
          </w:r>
        </w:p>
      </w:tc>
      <w:tc>
        <w:tcPr>
          <w:tcW w:w="4846" w:type="dxa"/>
        </w:tcPr>
        <w:p w:rsidR="005620A3" w:rsidRDefault="005620A3" w:rsidP="00E90ECD">
          <w:pPr>
            <w:pStyle w:val="Header"/>
            <w:jc w:val="right"/>
          </w:pPr>
          <w:r>
            <w:t>LINC Programme</w:t>
          </w:r>
        </w:p>
      </w:tc>
    </w:tr>
  </w:tbl>
  <w:p w:rsidR="005620A3" w:rsidRDefault="005620A3" w:rsidP="00E90EC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8020B8"/>
    <w:multiLevelType w:val="hybridMultilevel"/>
    <w:tmpl w:val="CF6AA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58D1625"/>
    <w:multiLevelType w:val="hybridMultilevel"/>
    <w:tmpl w:val="81BEC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A344A9E"/>
    <w:multiLevelType w:val="singleLevel"/>
    <w:tmpl w:val="C20E3CAE"/>
    <w:lvl w:ilvl="0">
      <w:start w:val="1"/>
      <w:numFmt w:val="bullet"/>
      <w:pStyle w:val="Bullet4"/>
      <w:lvlText w:val=""/>
      <w:lvlJc w:val="left"/>
      <w:pPr>
        <w:tabs>
          <w:tab w:val="num" w:pos="2520"/>
        </w:tabs>
        <w:ind w:left="720" w:firstLine="1440"/>
      </w:pPr>
      <w:rPr>
        <w:rFonts w:ascii="Symbol" w:hAnsi="Symbol" w:hint="default"/>
      </w:rPr>
    </w:lvl>
  </w:abstractNum>
  <w:abstractNum w:abstractNumId="3" w15:restartNumberingAfterBreak="0">
    <w:nsid w:val="62C6211A"/>
    <w:multiLevelType w:val="hybridMultilevel"/>
    <w:tmpl w:val="384629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9C27671"/>
    <w:multiLevelType w:val="hybridMultilevel"/>
    <w:tmpl w:val="1974E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ED06DE4"/>
    <w:multiLevelType w:val="hybridMultilevel"/>
    <w:tmpl w:val="3E48A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33B704D"/>
    <w:multiLevelType w:val="hybridMultilevel"/>
    <w:tmpl w:val="016CF2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85C2997"/>
    <w:multiLevelType w:val="hybridMultilevel"/>
    <w:tmpl w:val="85E8B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8DF54DE"/>
    <w:multiLevelType w:val="hybridMultilevel"/>
    <w:tmpl w:val="3620C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9017AD9"/>
    <w:multiLevelType w:val="hybridMultilevel"/>
    <w:tmpl w:val="4C92F0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1"/>
  </w:num>
  <w:num w:numId="4">
    <w:abstractNumId w:val="5"/>
  </w:num>
  <w:num w:numId="5">
    <w:abstractNumId w:val="4"/>
  </w:num>
  <w:num w:numId="6">
    <w:abstractNumId w:val="0"/>
  </w:num>
  <w:num w:numId="7">
    <w:abstractNumId w:val="9"/>
  </w:num>
  <w:num w:numId="8">
    <w:abstractNumId w:val="8"/>
  </w:num>
  <w:num w:numId="9">
    <w:abstractNumId w:val="6"/>
  </w:num>
  <w:num w:numId="10">
    <w:abstractNumId w:val="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drawingGridHorizontalSpacing w:val="12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1786"/>
    <w:rsid w:val="0000118E"/>
    <w:rsid w:val="0002453B"/>
    <w:rsid w:val="00024898"/>
    <w:rsid w:val="00025FBA"/>
    <w:rsid w:val="00030D35"/>
    <w:rsid w:val="00034473"/>
    <w:rsid w:val="00036BB0"/>
    <w:rsid w:val="00041722"/>
    <w:rsid w:val="00042508"/>
    <w:rsid w:val="00044F29"/>
    <w:rsid w:val="00046270"/>
    <w:rsid w:val="00060923"/>
    <w:rsid w:val="00074E7F"/>
    <w:rsid w:val="000807D4"/>
    <w:rsid w:val="000833BE"/>
    <w:rsid w:val="00084957"/>
    <w:rsid w:val="0008608A"/>
    <w:rsid w:val="000878DD"/>
    <w:rsid w:val="00087B75"/>
    <w:rsid w:val="000907CB"/>
    <w:rsid w:val="000908B7"/>
    <w:rsid w:val="00090D9E"/>
    <w:rsid w:val="00092872"/>
    <w:rsid w:val="00093C37"/>
    <w:rsid w:val="00094C55"/>
    <w:rsid w:val="000973B8"/>
    <w:rsid w:val="000A07DF"/>
    <w:rsid w:val="000A6A58"/>
    <w:rsid w:val="000B4F8B"/>
    <w:rsid w:val="000B6643"/>
    <w:rsid w:val="000C1BA3"/>
    <w:rsid w:val="000D0042"/>
    <w:rsid w:val="000D464E"/>
    <w:rsid w:val="000D7705"/>
    <w:rsid w:val="000E16DB"/>
    <w:rsid w:val="000E312B"/>
    <w:rsid w:val="000E4FE4"/>
    <w:rsid w:val="000E5A28"/>
    <w:rsid w:val="000E649E"/>
    <w:rsid w:val="000E6524"/>
    <w:rsid w:val="000E69C5"/>
    <w:rsid w:val="000F1ED1"/>
    <w:rsid w:val="000F2913"/>
    <w:rsid w:val="000F776E"/>
    <w:rsid w:val="00103A2D"/>
    <w:rsid w:val="00104DC3"/>
    <w:rsid w:val="001153D6"/>
    <w:rsid w:val="00123264"/>
    <w:rsid w:val="001234C4"/>
    <w:rsid w:val="00145C05"/>
    <w:rsid w:val="00150120"/>
    <w:rsid w:val="001563A2"/>
    <w:rsid w:val="0016395F"/>
    <w:rsid w:val="00167261"/>
    <w:rsid w:val="00181695"/>
    <w:rsid w:val="00184038"/>
    <w:rsid w:val="00184DD9"/>
    <w:rsid w:val="00191148"/>
    <w:rsid w:val="00192479"/>
    <w:rsid w:val="00192F11"/>
    <w:rsid w:val="001961F8"/>
    <w:rsid w:val="001A364C"/>
    <w:rsid w:val="001A39C1"/>
    <w:rsid w:val="001A795B"/>
    <w:rsid w:val="001C0196"/>
    <w:rsid w:val="001C027B"/>
    <w:rsid w:val="001C12EC"/>
    <w:rsid w:val="001C3A87"/>
    <w:rsid w:val="001D7FBD"/>
    <w:rsid w:val="001F2AAB"/>
    <w:rsid w:val="001F2DED"/>
    <w:rsid w:val="001F46E2"/>
    <w:rsid w:val="001F4AD7"/>
    <w:rsid w:val="001F5DBC"/>
    <w:rsid w:val="001F7127"/>
    <w:rsid w:val="001F7209"/>
    <w:rsid w:val="00201E6E"/>
    <w:rsid w:val="00205217"/>
    <w:rsid w:val="002072E3"/>
    <w:rsid w:val="00226E67"/>
    <w:rsid w:val="00231803"/>
    <w:rsid w:val="002352F8"/>
    <w:rsid w:val="0023758F"/>
    <w:rsid w:val="0023769E"/>
    <w:rsid w:val="0023779F"/>
    <w:rsid w:val="002428FF"/>
    <w:rsid w:val="0024714F"/>
    <w:rsid w:val="0025501B"/>
    <w:rsid w:val="00262561"/>
    <w:rsid w:val="00266D4A"/>
    <w:rsid w:val="00270DCD"/>
    <w:rsid w:val="00272E66"/>
    <w:rsid w:val="00286A08"/>
    <w:rsid w:val="002907C9"/>
    <w:rsid w:val="00294657"/>
    <w:rsid w:val="00296F76"/>
    <w:rsid w:val="002A6462"/>
    <w:rsid w:val="002B11C7"/>
    <w:rsid w:val="002B3B2E"/>
    <w:rsid w:val="002B7586"/>
    <w:rsid w:val="002C0BCD"/>
    <w:rsid w:val="002D1565"/>
    <w:rsid w:val="002D2A84"/>
    <w:rsid w:val="002E1F03"/>
    <w:rsid w:val="002E663E"/>
    <w:rsid w:val="00300C28"/>
    <w:rsid w:val="0030525F"/>
    <w:rsid w:val="00305C28"/>
    <w:rsid w:val="00307144"/>
    <w:rsid w:val="00311FBD"/>
    <w:rsid w:val="003175B8"/>
    <w:rsid w:val="00317ED4"/>
    <w:rsid w:val="0033681E"/>
    <w:rsid w:val="00336A2C"/>
    <w:rsid w:val="00340D65"/>
    <w:rsid w:val="003524D2"/>
    <w:rsid w:val="00361823"/>
    <w:rsid w:val="00362630"/>
    <w:rsid w:val="00367BAF"/>
    <w:rsid w:val="0038160C"/>
    <w:rsid w:val="003871BB"/>
    <w:rsid w:val="00393994"/>
    <w:rsid w:val="00397D02"/>
    <w:rsid w:val="003A28DE"/>
    <w:rsid w:val="003A4817"/>
    <w:rsid w:val="003A6BAB"/>
    <w:rsid w:val="003B62DA"/>
    <w:rsid w:val="003C0B44"/>
    <w:rsid w:val="003D0C97"/>
    <w:rsid w:val="003D256B"/>
    <w:rsid w:val="003D4B0D"/>
    <w:rsid w:val="003D5E58"/>
    <w:rsid w:val="003F25DC"/>
    <w:rsid w:val="003F66D1"/>
    <w:rsid w:val="00410A36"/>
    <w:rsid w:val="00416A9E"/>
    <w:rsid w:val="004201F8"/>
    <w:rsid w:val="00422EC6"/>
    <w:rsid w:val="00425373"/>
    <w:rsid w:val="00432542"/>
    <w:rsid w:val="004375D3"/>
    <w:rsid w:val="00440E4B"/>
    <w:rsid w:val="00442811"/>
    <w:rsid w:val="00442EF4"/>
    <w:rsid w:val="00456F39"/>
    <w:rsid w:val="004631DD"/>
    <w:rsid w:val="00464C99"/>
    <w:rsid w:val="00465B06"/>
    <w:rsid w:val="00480390"/>
    <w:rsid w:val="00482832"/>
    <w:rsid w:val="00483106"/>
    <w:rsid w:val="00483C22"/>
    <w:rsid w:val="00496910"/>
    <w:rsid w:val="004A2989"/>
    <w:rsid w:val="004A3472"/>
    <w:rsid w:val="004B7EB1"/>
    <w:rsid w:val="004C099F"/>
    <w:rsid w:val="004C0FE6"/>
    <w:rsid w:val="004C66A9"/>
    <w:rsid w:val="004D456B"/>
    <w:rsid w:val="004E73F6"/>
    <w:rsid w:val="004F210E"/>
    <w:rsid w:val="004F43F1"/>
    <w:rsid w:val="00501E68"/>
    <w:rsid w:val="00507E19"/>
    <w:rsid w:val="00515A37"/>
    <w:rsid w:val="0051645D"/>
    <w:rsid w:val="00520819"/>
    <w:rsid w:val="0052228E"/>
    <w:rsid w:val="00522E85"/>
    <w:rsid w:val="005244CC"/>
    <w:rsid w:val="00526796"/>
    <w:rsid w:val="00533285"/>
    <w:rsid w:val="00537475"/>
    <w:rsid w:val="005424A8"/>
    <w:rsid w:val="00547D5C"/>
    <w:rsid w:val="005544C3"/>
    <w:rsid w:val="00555258"/>
    <w:rsid w:val="00555657"/>
    <w:rsid w:val="00560B35"/>
    <w:rsid w:val="005620A3"/>
    <w:rsid w:val="0056704F"/>
    <w:rsid w:val="0056744A"/>
    <w:rsid w:val="00574AAA"/>
    <w:rsid w:val="00575FA3"/>
    <w:rsid w:val="005805A9"/>
    <w:rsid w:val="00582873"/>
    <w:rsid w:val="00582C0A"/>
    <w:rsid w:val="005A1BB6"/>
    <w:rsid w:val="005B4E8F"/>
    <w:rsid w:val="005B63F6"/>
    <w:rsid w:val="005C1786"/>
    <w:rsid w:val="005C4E9F"/>
    <w:rsid w:val="005C6819"/>
    <w:rsid w:val="005D0AC8"/>
    <w:rsid w:val="005D0CCC"/>
    <w:rsid w:val="005D2A2E"/>
    <w:rsid w:val="005D7009"/>
    <w:rsid w:val="005D7B5E"/>
    <w:rsid w:val="005E1290"/>
    <w:rsid w:val="005E228F"/>
    <w:rsid w:val="005E2F5E"/>
    <w:rsid w:val="005E7679"/>
    <w:rsid w:val="005E7BF7"/>
    <w:rsid w:val="005F000D"/>
    <w:rsid w:val="005F10FE"/>
    <w:rsid w:val="005F1978"/>
    <w:rsid w:val="005F3608"/>
    <w:rsid w:val="005F450D"/>
    <w:rsid w:val="005F48CA"/>
    <w:rsid w:val="005F4B87"/>
    <w:rsid w:val="005F6775"/>
    <w:rsid w:val="006047E8"/>
    <w:rsid w:val="00614CF1"/>
    <w:rsid w:val="006162B1"/>
    <w:rsid w:val="006207FF"/>
    <w:rsid w:val="0062140C"/>
    <w:rsid w:val="00623D09"/>
    <w:rsid w:val="00625F40"/>
    <w:rsid w:val="006261B2"/>
    <w:rsid w:val="00631D00"/>
    <w:rsid w:val="00635A7B"/>
    <w:rsid w:val="00645167"/>
    <w:rsid w:val="00646D2E"/>
    <w:rsid w:val="00652CE6"/>
    <w:rsid w:val="00654477"/>
    <w:rsid w:val="006561E1"/>
    <w:rsid w:val="00657A0F"/>
    <w:rsid w:val="00666BD9"/>
    <w:rsid w:val="0067634C"/>
    <w:rsid w:val="00685C92"/>
    <w:rsid w:val="00694E6D"/>
    <w:rsid w:val="00695F41"/>
    <w:rsid w:val="006973D1"/>
    <w:rsid w:val="006A17E2"/>
    <w:rsid w:val="006A4724"/>
    <w:rsid w:val="006A6047"/>
    <w:rsid w:val="006B16CB"/>
    <w:rsid w:val="006B63A8"/>
    <w:rsid w:val="006C0535"/>
    <w:rsid w:val="006F1F9C"/>
    <w:rsid w:val="006F5D1B"/>
    <w:rsid w:val="007031D1"/>
    <w:rsid w:val="007057D3"/>
    <w:rsid w:val="0071328E"/>
    <w:rsid w:val="00714EC4"/>
    <w:rsid w:val="00720857"/>
    <w:rsid w:val="00725DA0"/>
    <w:rsid w:val="00734DFF"/>
    <w:rsid w:val="00735F94"/>
    <w:rsid w:val="00740933"/>
    <w:rsid w:val="00740A12"/>
    <w:rsid w:val="007418A5"/>
    <w:rsid w:val="00752C3B"/>
    <w:rsid w:val="00760744"/>
    <w:rsid w:val="00761A85"/>
    <w:rsid w:val="00763DED"/>
    <w:rsid w:val="00763FC3"/>
    <w:rsid w:val="00764301"/>
    <w:rsid w:val="0077276A"/>
    <w:rsid w:val="00775AC2"/>
    <w:rsid w:val="00775B2B"/>
    <w:rsid w:val="00787B0A"/>
    <w:rsid w:val="00790BF9"/>
    <w:rsid w:val="00791486"/>
    <w:rsid w:val="00792ED5"/>
    <w:rsid w:val="007931E8"/>
    <w:rsid w:val="00794852"/>
    <w:rsid w:val="00797308"/>
    <w:rsid w:val="007A02BF"/>
    <w:rsid w:val="007A0C10"/>
    <w:rsid w:val="007C2206"/>
    <w:rsid w:val="007E2D07"/>
    <w:rsid w:val="007F342B"/>
    <w:rsid w:val="007F6499"/>
    <w:rsid w:val="0080090B"/>
    <w:rsid w:val="008043C0"/>
    <w:rsid w:val="0080486A"/>
    <w:rsid w:val="00812652"/>
    <w:rsid w:val="008126F3"/>
    <w:rsid w:val="00824CF9"/>
    <w:rsid w:val="00826918"/>
    <w:rsid w:val="008300AF"/>
    <w:rsid w:val="008339AD"/>
    <w:rsid w:val="00835022"/>
    <w:rsid w:val="00836607"/>
    <w:rsid w:val="00840D94"/>
    <w:rsid w:val="00860581"/>
    <w:rsid w:val="0086348C"/>
    <w:rsid w:val="00865A8B"/>
    <w:rsid w:val="00866EAB"/>
    <w:rsid w:val="00870602"/>
    <w:rsid w:val="0087209F"/>
    <w:rsid w:val="00873502"/>
    <w:rsid w:val="00873CDA"/>
    <w:rsid w:val="0087598D"/>
    <w:rsid w:val="008765F9"/>
    <w:rsid w:val="00876FA5"/>
    <w:rsid w:val="00877FD3"/>
    <w:rsid w:val="00881988"/>
    <w:rsid w:val="00884E2C"/>
    <w:rsid w:val="00886A30"/>
    <w:rsid w:val="00893F4A"/>
    <w:rsid w:val="00897353"/>
    <w:rsid w:val="00897BA0"/>
    <w:rsid w:val="008A283E"/>
    <w:rsid w:val="008A4056"/>
    <w:rsid w:val="008A4616"/>
    <w:rsid w:val="008B42B9"/>
    <w:rsid w:val="008B5A21"/>
    <w:rsid w:val="008B64FE"/>
    <w:rsid w:val="008D1090"/>
    <w:rsid w:val="008D4B74"/>
    <w:rsid w:val="008D6379"/>
    <w:rsid w:val="008D736C"/>
    <w:rsid w:val="008E02F2"/>
    <w:rsid w:val="008E2BD1"/>
    <w:rsid w:val="008E5B4D"/>
    <w:rsid w:val="008E7187"/>
    <w:rsid w:val="008F16D1"/>
    <w:rsid w:val="008F18FB"/>
    <w:rsid w:val="008F639E"/>
    <w:rsid w:val="00924403"/>
    <w:rsid w:val="0094268A"/>
    <w:rsid w:val="00950289"/>
    <w:rsid w:val="00953D9C"/>
    <w:rsid w:val="0095755A"/>
    <w:rsid w:val="009616C0"/>
    <w:rsid w:val="00964984"/>
    <w:rsid w:val="009653BA"/>
    <w:rsid w:val="00967687"/>
    <w:rsid w:val="009712E3"/>
    <w:rsid w:val="00996993"/>
    <w:rsid w:val="00997C50"/>
    <w:rsid w:val="009A19FE"/>
    <w:rsid w:val="009A1CD9"/>
    <w:rsid w:val="009B23A9"/>
    <w:rsid w:val="009B3EEF"/>
    <w:rsid w:val="009B4C49"/>
    <w:rsid w:val="009C0DA4"/>
    <w:rsid w:val="009C4925"/>
    <w:rsid w:val="009C5661"/>
    <w:rsid w:val="009C59B3"/>
    <w:rsid w:val="009D2938"/>
    <w:rsid w:val="009D3F36"/>
    <w:rsid w:val="009E4FC7"/>
    <w:rsid w:val="009F59C5"/>
    <w:rsid w:val="00A058D6"/>
    <w:rsid w:val="00A063E3"/>
    <w:rsid w:val="00A109A7"/>
    <w:rsid w:val="00A16969"/>
    <w:rsid w:val="00A27AD0"/>
    <w:rsid w:val="00A3253B"/>
    <w:rsid w:val="00A426EB"/>
    <w:rsid w:val="00A456EE"/>
    <w:rsid w:val="00A53AD2"/>
    <w:rsid w:val="00A658D3"/>
    <w:rsid w:val="00A7053F"/>
    <w:rsid w:val="00A71B84"/>
    <w:rsid w:val="00A736D4"/>
    <w:rsid w:val="00A74443"/>
    <w:rsid w:val="00A83EB1"/>
    <w:rsid w:val="00A86367"/>
    <w:rsid w:val="00A90B55"/>
    <w:rsid w:val="00A922C0"/>
    <w:rsid w:val="00AB2DE4"/>
    <w:rsid w:val="00AB56DA"/>
    <w:rsid w:val="00AB6549"/>
    <w:rsid w:val="00AB6911"/>
    <w:rsid w:val="00AC0085"/>
    <w:rsid w:val="00AC4AF6"/>
    <w:rsid w:val="00AC4E58"/>
    <w:rsid w:val="00AC53D7"/>
    <w:rsid w:val="00AD231C"/>
    <w:rsid w:val="00AD613A"/>
    <w:rsid w:val="00AE4F72"/>
    <w:rsid w:val="00AF10B0"/>
    <w:rsid w:val="00B00D5D"/>
    <w:rsid w:val="00B01B45"/>
    <w:rsid w:val="00B33436"/>
    <w:rsid w:val="00B452EC"/>
    <w:rsid w:val="00B45883"/>
    <w:rsid w:val="00B50F53"/>
    <w:rsid w:val="00B52055"/>
    <w:rsid w:val="00B52EE1"/>
    <w:rsid w:val="00B67C13"/>
    <w:rsid w:val="00B7226D"/>
    <w:rsid w:val="00B75B01"/>
    <w:rsid w:val="00B774D4"/>
    <w:rsid w:val="00B8196E"/>
    <w:rsid w:val="00B92B5F"/>
    <w:rsid w:val="00B94192"/>
    <w:rsid w:val="00B97B3F"/>
    <w:rsid w:val="00BA49CC"/>
    <w:rsid w:val="00BA73A6"/>
    <w:rsid w:val="00BB1A55"/>
    <w:rsid w:val="00BB439B"/>
    <w:rsid w:val="00BB4AFD"/>
    <w:rsid w:val="00BB5876"/>
    <w:rsid w:val="00BB5F5A"/>
    <w:rsid w:val="00BC06FE"/>
    <w:rsid w:val="00BC3C17"/>
    <w:rsid w:val="00BC6771"/>
    <w:rsid w:val="00BD27FC"/>
    <w:rsid w:val="00BD3D41"/>
    <w:rsid w:val="00BF3086"/>
    <w:rsid w:val="00C003CE"/>
    <w:rsid w:val="00C13BD3"/>
    <w:rsid w:val="00C16270"/>
    <w:rsid w:val="00C167D9"/>
    <w:rsid w:val="00C17023"/>
    <w:rsid w:val="00C17500"/>
    <w:rsid w:val="00C25188"/>
    <w:rsid w:val="00C252A7"/>
    <w:rsid w:val="00C307D5"/>
    <w:rsid w:val="00C309D8"/>
    <w:rsid w:val="00C32371"/>
    <w:rsid w:val="00C352E7"/>
    <w:rsid w:val="00C36B21"/>
    <w:rsid w:val="00C37453"/>
    <w:rsid w:val="00C37DD0"/>
    <w:rsid w:val="00C43764"/>
    <w:rsid w:val="00C5547A"/>
    <w:rsid w:val="00C55FB1"/>
    <w:rsid w:val="00C724BD"/>
    <w:rsid w:val="00C8256E"/>
    <w:rsid w:val="00C85095"/>
    <w:rsid w:val="00C85E99"/>
    <w:rsid w:val="00C86874"/>
    <w:rsid w:val="00C875F8"/>
    <w:rsid w:val="00C9159B"/>
    <w:rsid w:val="00C9705D"/>
    <w:rsid w:val="00C97556"/>
    <w:rsid w:val="00CA1DCC"/>
    <w:rsid w:val="00CA3A72"/>
    <w:rsid w:val="00CA4842"/>
    <w:rsid w:val="00CA7A5D"/>
    <w:rsid w:val="00CB727E"/>
    <w:rsid w:val="00CB7B4D"/>
    <w:rsid w:val="00CB7B83"/>
    <w:rsid w:val="00CB7C18"/>
    <w:rsid w:val="00CC3305"/>
    <w:rsid w:val="00CE0C81"/>
    <w:rsid w:val="00CE32FC"/>
    <w:rsid w:val="00CF0B37"/>
    <w:rsid w:val="00CF6B98"/>
    <w:rsid w:val="00CF76E7"/>
    <w:rsid w:val="00D03289"/>
    <w:rsid w:val="00D17805"/>
    <w:rsid w:val="00D201EF"/>
    <w:rsid w:val="00D23469"/>
    <w:rsid w:val="00D3023B"/>
    <w:rsid w:val="00D31C02"/>
    <w:rsid w:val="00D34F7D"/>
    <w:rsid w:val="00D364D4"/>
    <w:rsid w:val="00D377AD"/>
    <w:rsid w:val="00D404D2"/>
    <w:rsid w:val="00D414F9"/>
    <w:rsid w:val="00D42A6A"/>
    <w:rsid w:val="00D5179C"/>
    <w:rsid w:val="00D563B9"/>
    <w:rsid w:val="00D57C55"/>
    <w:rsid w:val="00D624AE"/>
    <w:rsid w:val="00D715F3"/>
    <w:rsid w:val="00D71DC2"/>
    <w:rsid w:val="00D7692F"/>
    <w:rsid w:val="00D80D48"/>
    <w:rsid w:val="00D86321"/>
    <w:rsid w:val="00D930AA"/>
    <w:rsid w:val="00DA293D"/>
    <w:rsid w:val="00DA56D8"/>
    <w:rsid w:val="00DA67F8"/>
    <w:rsid w:val="00DA7603"/>
    <w:rsid w:val="00DB1C5A"/>
    <w:rsid w:val="00DB2281"/>
    <w:rsid w:val="00DB4F44"/>
    <w:rsid w:val="00DB5CE2"/>
    <w:rsid w:val="00DC1DDB"/>
    <w:rsid w:val="00DC3572"/>
    <w:rsid w:val="00DC567B"/>
    <w:rsid w:val="00DC7A4F"/>
    <w:rsid w:val="00DD3479"/>
    <w:rsid w:val="00DD5C90"/>
    <w:rsid w:val="00DE0BA9"/>
    <w:rsid w:val="00DE169D"/>
    <w:rsid w:val="00DE2753"/>
    <w:rsid w:val="00DF5A29"/>
    <w:rsid w:val="00DF7FA0"/>
    <w:rsid w:val="00E07E3F"/>
    <w:rsid w:val="00E142A9"/>
    <w:rsid w:val="00E1438C"/>
    <w:rsid w:val="00E17ED3"/>
    <w:rsid w:val="00E239E4"/>
    <w:rsid w:val="00E25007"/>
    <w:rsid w:val="00E271B0"/>
    <w:rsid w:val="00E323F6"/>
    <w:rsid w:val="00E33AAF"/>
    <w:rsid w:val="00E35922"/>
    <w:rsid w:val="00E436B3"/>
    <w:rsid w:val="00E43F90"/>
    <w:rsid w:val="00E53FAE"/>
    <w:rsid w:val="00E62041"/>
    <w:rsid w:val="00E62F31"/>
    <w:rsid w:val="00E73DF9"/>
    <w:rsid w:val="00E7405B"/>
    <w:rsid w:val="00E76DD6"/>
    <w:rsid w:val="00E80C98"/>
    <w:rsid w:val="00E90ECD"/>
    <w:rsid w:val="00E94D20"/>
    <w:rsid w:val="00E95E57"/>
    <w:rsid w:val="00EA35C5"/>
    <w:rsid w:val="00EB032B"/>
    <w:rsid w:val="00EB2195"/>
    <w:rsid w:val="00EB36CE"/>
    <w:rsid w:val="00EC1921"/>
    <w:rsid w:val="00EC623A"/>
    <w:rsid w:val="00EC6A9A"/>
    <w:rsid w:val="00ED1B84"/>
    <w:rsid w:val="00EE682A"/>
    <w:rsid w:val="00EF0DB6"/>
    <w:rsid w:val="00EF6A54"/>
    <w:rsid w:val="00F06547"/>
    <w:rsid w:val="00F17674"/>
    <w:rsid w:val="00F23DED"/>
    <w:rsid w:val="00F23F40"/>
    <w:rsid w:val="00F26657"/>
    <w:rsid w:val="00F400CD"/>
    <w:rsid w:val="00F44F41"/>
    <w:rsid w:val="00F5195F"/>
    <w:rsid w:val="00F521EB"/>
    <w:rsid w:val="00F53DD8"/>
    <w:rsid w:val="00F57E17"/>
    <w:rsid w:val="00F614CE"/>
    <w:rsid w:val="00F75A0A"/>
    <w:rsid w:val="00F773D2"/>
    <w:rsid w:val="00F8070A"/>
    <w:rsid w:val="00F95855"/>
    <w:rsid w:val="00FA20DB"/>
    <w:rsid w:val="00FA45FF"/>
    <w:rsid w:val="00FA68EA"/>
    <w:rsid w:val="00FB0F5D"/>
    <w:rsid w:val="00FB1B6F"/>
    <w:rsid w:val="00FB2603"/>
    <w:rsid w:val="00FB5A08"/>
    <w:rsid w:val="00FD2757"/>
    <w:rsid w:val="00FE1535"/>
    <w:rsid w:val="00FE265B"/>
    <w:rsid w:val="00FF16B7"/>
    <w:rsid w:val="00FF3078"/>
    <w:rsid w:val="00FF425D"/>
    <w:rsid w:val="00FF4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041CC32"/>
  <w15:docId w15:val="{793437E4-3892-47CC-8848-D47EB3D8B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before="24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159B"/>
    <w:rPr>
      <w:rFonts w:ascii="Verdana" w:eastAsia="Times New Roman" w:hAnsi="Verdana" w:cs="Times New Roman"/>
      <w:szCs w:val="20"/>
    </w:rPr>
  </w:style>
  <w:style w:type="paragraph" w:styleId="Heading1">
    <w:name w:val="heading 1"/>
    <w:basedOn w:val="Normal"/>
    <w:next w:val="Normal"/>
    <w:link w:val="Heading1Char"/>
    <w:autoRedefine/>
    <w:uiPriority w:val="9"/>
    <w:qFormat/>
    <w:rsid w:val="00C352E7"/>
    <w:pPr>
      <w:keepNext/>
      <w:keepLines/>
      <w:outlineLvl w:val="0"/>
    </w:pPr>
    <w:rPr>
      <w:rFonts w:eastAsiaTheme="majorEastAsia" w:cstheme="majorBidi"/>
      <w:b/>
      <w:color w:val="244061" w:themeColor="accent1" w:themeShade="80"/>
      <w:sz w:val="28"/>
      <w:szCs w:val="32"/>
    </w:rPr>
  </w:style>
  <w:style w:type="paragraph" w:styleId="Heading2">
    <w:name w:val="heading 2"/>
    <w:basedOn w:val="Heading1"/>
    <w:next w:val="Heading1"/>
    <w:link w:val="Heading2Char"/>
    <w:autoRedefine/>
    <w:uiPriority w:val="9"/>
    <w:unhideWhenUsed/>
    <w:qFormat/>
    <w:rsid w:val="00C352E7"/>
    <w:pPr>
      <w:outlineLvl w:val="1"/>
    </w:pPr>
    <w:rPr>
      <w:sz w:val="24"/>
      <w:szCs w:val="26"/>
    </w:rPr>
  </w:style>
  <w:style w:type="paragraph" w:styleId="Heading3">
    <w:name w:val="heading 3"/>
    <w:basedOn w:val="Heading2"/>
    <w:next w:val="Heading2"/>
    <w:link w:val="Heading3Char"/>
    <w:autoRedefine/>
    <w:uiPriority w:val="9"/>
    <w:unhideWhenUsed/>
    <w:qFormat/>
    <w:rsid w:val="00C352E7"/>
    <w:pPr>
      <w:outlineLvl w:val="2"/>
    </w:pPr>
    <w:rPr>
      <w:sz w:val="22"/>
      <w:szCs w:val="24"/>
    </w:rPr>
  </w:style>
  <w:style w:type="paragraph" w:styleId="Heading4">
    <w:name w:val="heading 4"/>
    <w:basedOn w:val="Normal"/>
    <w:next w:val="Normal"/>
    <w:link w:val="Heading4Char"/>
    <w:uiPriority w:val="9"/>
    <w:semiHidden/>
    <w:unhideWhenUsed/>
    <w:rsid w:val="00F400CD"/>
    <w:pPr>
      <w:keepNext/>
      <w:keepLines/>
      <w:spacing w:before="40"/>
      <w:outlineLvl w:val="3"/>
    </w:pPr>
    <w:rPr>
      <w:rFonts w:asciiTheme="majorHAnsi" w:eastAsiaTheme="majorEastAsia" w:hAnsiTheme="majorHAnsi" w:cstheme="majorBidi"/>
      <w:i/>
      <w:iCs/>
      <w:color w:val="365F91" w:themeColor="accent1" w:themeShade="BF"/>
    </w:rPr>
  </w:style>
  <w:style w:type="paragraph" w:styleId="Heading6">
    <w:name w:val="heading 6"/>
    <w:basedOn w:val="Normal"/>
    <w:next w:val="Normal"/>
    <w:link w:val="Heading6Char"/>
    <w:uiPriority w:val="9"/>
    <w:semiHidden/>
    <w:unhideWhenUsed/>
    <w:qFormat/>
    <w:rsid w:val="00FA68EA"/>
    <w:pPr>
      <w:keepNext/>
      <w:keepLines/>
      <w:spacing w:before="4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rsid w:val="005C1786"/>
    <w:pPr>
      <w:keepNext/>
      <w:spacing w:before="60" w:after="60"/>
      <w:contextualSpacing/>
      <w:jc w:val="center"/>
      <w:outlineLvl w:val="0"/>
    </w:pPr>
    <w:rPr>
      <w:rFonts w:ascii="Arial" w:hAnsi="Arial"/>
      <w:b/>
      <w:kern w:val="28"/>
      <w:sz w:val="72"/>
      <w:szCs w:val="72"/>
    </w:rPr>
  </w:style>
  <w:style w:type="character" w:customStyle="1" w:styleId="TitleChar">
    <w:name w:val="Title Char"/>
    <w:basedOn w:val="DefaultParagraphFont"/>
    <w:link w:val="Title"/>
    <w:rsid w:val="005C1786"/>
    <w:rPr>
      <w:rFonts w:ascii="Arial" w:eastAsia="Times New Roman" w:hAnsi="Arial" w:cs="Times New Roman"/>
      <w:b/>
      <w:kern w:val="28"/>
      <w:sz w:val="72"/>
      <w:szCs w:val="72"/>
    </w:rPr>
  </w:style>
  <w:style w:type="paragraph" w:customStyle="1" w:styleId="CoverSheet">
    <w:name w:val="Cover Sheet"/>
    <w:basedOn w:val="Normal"/>
    <w:rsid w:val="005C1786"/>
    <w:pPr>
      <w:spacing w:before="120"/>
      <w:jc w:val="left"/>
    </w:pPr>
    <w:rPr>
      <w:rFonts w:ascii="Arial" w:hAnsi="Arial" w:cs="Arial"/>
    </w:rPr>
  </w:style>
  <w:style w:type="paragraph" w:styleId="BalloonText">
    <w:name w:val="Balloon Text"/>
    <w:basedOn w:val="Normal"/>
    <w:link w:val="BalloonTextChar"/>
    <w:uiPriority w:val="99"/>
    <w:semiHidden/>
    <w:unhideWhenUsed/>
    <w:rsid w:val="005C1786"/>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rsid w:val="005C1786"/>
    <w:rPr>
      <w:rFonts w:ascii="Tahoma" w:eastAsia="Times New Roman" w:hAnsi="Tahoma" w:cs="Tahoma"/>
      <w:sz w:val="16"/>
      <w:szCs w:val="16"/>
    </w:rPr>
  </w:style>
  <w:style w:type="paragraph" w:styleId="ListParagraph">
    <w:name w:val="List Paragraph"/>
    <w:basedOn w:val="Normal"/>
    <w:uiPriority w:val="34"/>
    <w:rsid w:val="005C1786"/>
    <w:pPr>
      <w:ind w:left="720"/>
      <w:contextualSpacing/>
    </w:pPr>
  </w:style>
  <w:style w:type="paragraph" w:styleId="Header">
    <w:name w:val="header"/>
    <w:basedOn w:val="Normal"/>
    <w:link w:val="HeaderChar"/>
    <w:uiPriority w:val="99"/>
    <w:unhideWhenUsed/>
    <w:rsid w:val="00300C28"/>
    <w:pPr>
      <w:tabs>
        <w:tab w:val="center" w:pos="4513"/>
        <w:tab w:val="right" w:pos="9026"/>
      </w:tabs>
      <w:spacing w:before="0"/>
    </w:pPr>
  </w:style>
  <w:style w:type="character" w:customStyle="1" w:styleId="HeaderChar">
    <w:name w:val="Header Char"/>
    <w:basedOn w:val="DefaultParagraphFont"/>
    <w:link w:val="Header"/>
    <w:uiPriority w:val="99"/>
    <w:rsid w:val="00300C28"/>
    <w:rPr>
      <w:rFonts w:ascii="Verdana" w:eastAsia="Times New Roman" w:hAnsi="Verdana" w:cs="Times New Roman"/>
      <w:sz w:val="24"/>
      <w:szCs w:val="20"/>
    </w:rPr>
  </w:style>
  <w:style w:type="paragraph" w:styleId="Footer">
    <w:name w:val="footer"/>
    <w:basedOn w:val="Normal"/>
    <w:link w:val="FooterChar"/>
    <w:uiPriority w:val="99"/>
    <w:unhideWhenUsed/>
    <w:rsid w:val="00300C28"/>
    <w:pPr>
      <w:tabs>
        <w:tab w:val="center" w:pos="4513"/>
        <w:tab w:val="right" w:pos="9026"/>
      </w:tabs>
      <w:spacing w:before="0"/>
    </w:pPr>
  </w:style>
  <w:style w:type="character" w:customStyle="1" w:styleId="FooterChar">
    <w:name w:val="Footer Char"/>
    <w:basedOn w:val="DefaultParagraphFont"/>
    <w:link w:val="Footer"/>
    <w:uiPriority w:val="99"/>
    <w:rsid w:val="00300C28"/>
    <w:rPr>
      <w:rFonts w:ascii="Verdana" w:eastAsia="Times New Roman" w:hAnsi="Verdana" w:cs="Times New Roman"/>
      <w:sz w:val="24"/>
      <w:szCs w:val="20"/>
    </w:rPr>
  </w:style>
  <w:style w:type="character" w:styleId="PageNumber">
    <w:name w:val="page number"/>
    <w:basedOn w:val="DefaultParagraphFont"/>
    <w:rsid w:val="00DC567B"/>
    <w:rPr>
      <w:rFonts w:cs="Times New Roman"/>
    </w:rPr>
  </w:style>
  <w:style w:type="table" w:styleId="TableGrid">
    <w:name w:val="Table Grid"/>
    <w:basedOn w:val="TableNormal"/>
    <w:uiPriority w:val="39"/>
    <w:rsid w:val="00DC7A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C352E7"/>
    <w:rPr>
      <w:rFonts w:ascii="Verdana" w:eastAsiaTheme="majorEastAsia" w:hAnsi="Verdana" w:cstheme="majorBidi"/>
      <w:b/>
      <w:color w:val="244061" w:themeColor="accent1" w:themeShade="80"/>
      <w:sz w:val="24"/>
      <w:szCs w:val="26"/>
    </w:rPr>
  </w:style>
  <w:style w:type="paragraph" w:styleId="BodyText">
    <w:name w:val="Body Text"/>
    <w:basedOn w:val="Normal"/>
    <w:link w:val="BodyTextChar"/>
    <w:rsid w:val="005D2A2E"/>
    <w:pPr>
      <w:spacing w:before="0"/>
      <w:jc w:val="left"/>
    </w:pPr>
    <w:rPr>
      <w:rFonts w:ascii="Times New Roman" w:hAnsi="Times New Roman"/>
    </w:rPr>
  </w:style>
  <w:style w:type="character" w:customStyle="1" w:styleId="BodyTextChar">
    <w:name w:val="Body Text Char"/>
    <w:basedOn w:val="DefaultParagraphFont"/>
    <w:link w:val="BodyText"/>
    <w:rsid w:val="005D2A2E"/>
    <w:rPr>
      <w:rFonts w:ascii="Times New Roman" w:eastAsia="Times New Roman" w:hAnsi="Times New Roman" w:cs="Times New Roman"/>
      <w:sz w:val="24"/>
      <w:szCs w:val="20"/>
    </w:rPr>
  </w:style>
  <w:style w:type="character" w:customStyle="1" w:styleId="Heading1Char">
    <w:name w:val="Heading 1 Char"/>
    <w:basedOn w:val="DefaultParagraphFont"/>
    <w:link w:val="Heading1"/>
    <w:uiPriority w:val="9"/>
    <w:rsid w:val="00C352E7"/>
    <w:rPr>
      <w:rFonts w:ascii="Verdana" w:eastAsiaTheme="majorEastAsia" w:hAnsi="Verdana" w:cstheme="majorBidi"/>
      <w:b/>
      <w:color w:val="244061" w:themeColor="accent1" w:themeShade="80"/>
      <w:sz w:val="28"/>
      <w:szCs w:val="32"/>
    </w:rPr>
  </w:style>
  <w:style w:type="character" w:customStyle="1" w:styleId="Heading3Char">
    <w:name w:val="Heading 3 Char"/>
    <w:basedOn w:val="DefaultParagraphFont"/>
    <w:link w:val="Heading3"/>
    <w:uiPriority w:val="9"/>
    <w:rsid w:val="00C352E7"/>
    <w:rPr>
      <w:rFonts w:ascii="Verdana" w:eastAsiaTheme="majorEastAsia" w:hAnsi="Verdana" w:cstheme="majorBidi"/>
      <w:b/>
      <w:color w:val="244061" w:themeColor="accent1" w:themeShade="80"/>
      <w:szCs w:val="24"/>
    </w:rPr>
  </w:style>
  <w:style w:type="paragraph" w:customStyle="1" w:styleId="Default">
    <w:name w:val="Default"/>
    <w:rsid w:val="000E16DB"/>
    <w:pPr>
      <w:autoSpaceDE w:val="0"/>
      <w:autoSpaceDN w:val="0"/>
      <w:adjustRightInd w:val="0"/>
      <w:spacing w:before="0"/>
      <w:jc w:val="left"/>
    </w:pPr>
    <w:rPr>
      <w:rFonts w:ascii="Arial" w:hAnsi="Arial" w:cs="Arial"/>
      <w:color w:val="000000"/>
      <w:sz w:val="24"/>
      <w:szCs w:val="24"/>
    </w:rPr>
  </w:style>
  <w:style w:type="paragraph" w:styleId="FootnoteText">
    <w:name w:val="footnote text"/>
    <w:basedOn w:val="Normal"/>
    <w:link w:val="FootnoteTextChar"/>
    <w:unhideWhenUsed/>
    <w:rsid w:val="00CB7C18"/>
    <w:pPr>
      <w:spacing w:before="0"/>
    </w:pPr>
    <w:rPr>
      <w:sz w:val="20"/>
    </w:rPr>
  </w:style>
  <w:style w:type="character" w:customStyle="1" w:styleId="FootnoteTextChar">
    <w:name w:val="Footnote Text Char"/>
    <w:basedOn w:val="DefaultParagraphFont"/>
    <w:link w:val="FootnoteText"/>
    <w:rsid w:val="00CB7C18"/>
    <w:rPr>
      <w:rFonts w:ascii="Verdana" w:eastAsia="Times New Roman" w:hAnsi="Verdana" w:cs="Times New Roman"/>
      <w:sz w:val="20"/>
      <w:szCs w:val="20"/>
    </w:rPr>
  </w:style>
  <w:style w:type="character" w:styleId="FootnoteReference">
    <w:name w:val="footnote reference"/>
    <w:basedOn w:val="DefaultParagraphFont"/>
    <w:unhideWhenUsed/>
    <w:rsid w:val="00CB7C18"/>
    <w:rPr>
      <w:vertAlign w:val="superscript"/>
    </w:rPr>
  </w:style>
  <w:style w:type="paragraph" w:customStyle="1" w:styleId="Pa5">
    <w:name w:val="Pa5"/>
    <w:basedOn w:val="Default"/>
    <w:next w:val="Default"/>
    <w:uiPriority w:val="99"/>
    <w:rsid w:val="00CC3305"/>
    <w:pPr>
      <w:spacing w:line="241" w:lineRule="atLeast"/>
    </w:pPr>
    <w:rPr>
      <w:rFonts w:ascii="GillSans Light" w:hAnsi="GillSans Light" w:cstheme="minorBidi"/>
      <w:color w:val="auto"/>
    </w:rPr>
  </w:style>
  <w:style w:type="paragraph" w:customStyle="1" w:styleId="Pa14">
    <w:name w:val="Pa14"/>
    <w:basedOn w:val="Default"/>
    <w:next w:val="Default"/>
    <w:uiPriority w:val="99"/>
    <w:rsid w:val="00CC3305"/>
    <w:pPr>
      <w:spacing w:line="241" w:lineRule="atLeast"/>
    </w:pPr>
    <w:rPr>
      <w:rFonts w:ascii="GillSans Light" w:hAnsi="GillSans Light" w:cstheme="minorBidi"/>
      <w:color w:val="auto"/>
    </w:rPr>
  </w:style>
  <w:style w:type="paragraph" w:styleId="Caption">
    <w:name w:val="caption"/>
    <w:basedOn w:val="Normal"/>
    <w:next w:val="Normal"/>
    <w:uiPriority w:val="35"/>
    <w:unhideWhenUsed/>
    <w:rsid w:val="00231803"/>
    <w:pPr>
      <w:spacing w:before="0" w:after="200"/>
    </w:pPr>
    <w:rPr>
      <w:i/>
      <w:iCs/>
      <w:color w:val="1F497D" w:themeColor="text2"/>
      <w:sz w:val="18"/>
      <w:szCs w:val="18"/>
    </w:rPr>
  </w:style>
  <w:style w:type="character" w:styleId="Hyperlink">
    <w:name w:val="Hyperlink"/>
    <w:basedOn w:val="DefaultParagraphFont"/>
    <w:uiPriority w:val="99"/>
    <w:unhideWhenUsed/>
    <w:rsid w:val="00714EC4"/>
    <w:rPr>
      <w:color w:val="0000FF" w:themeColor="hyperlink"/>
      <w:u w:val="single"/>
    </w:rPr>
  </w:style>
  <w:style w:type="paragraph" w:styleId="NormalWeb">
    <w:name w:val="Normal (Web)"/>
    <w:basedOn w:val="Normal"/>
    <w:uiPriority w:val="99"/>
    <w:semiHidden/>
    <w:unhideWhenUsed/>
    <w:rsid w:val="008D4B74"/>
    <w:pPr>
      <w:spacing w:before="100" w:beforeAutospacing="1" w:after="100" w:afterAutospacing="1"/>
      <w:jc w:val="left"/>
    </w:pPr>
    <w:rPr>
      <w:rFonts w:ascii="Times New Roman" w:hAnsi="Times New Roman"/>
      <w:szCs w:val="24"/>
      <w:lang w:eastAsia="en-GB"/>
    </w:rPr>
  </w:style>
  <w:style w:type="character" w:customStyle="1" w:styleId="Heading6Char">
    <w:name w:val="Heading 6 Char"/>
    <w:basedOn w:val="DefaultParagraphFont"/>
    <w:link w:val="Heading6"/>
    <w:rsid w:val="00FA68EA"/>
    <w:rPr>
      <w:rFonts w:asciiTheme="majorHAnsi" w:eastAsiaTheme="majorEastAsia" w:hAnsiTheme="majorHAnsi" w:cstheme="majorBidi"/>
      <w:color w:val="243F60" w:themeColor="accent1" w:themeShade="7F"/>
      <w:sz w:val="24"/>
      <w:szCs w:val="20"/>
    </w:rPr>
  </w:style>
  <w:style w:type="character" w:customStyle="1" w:styleId="Heading4Char">
    <w:name w:val="Heading 4 Char"/>
    <w:basedOn w:val="DefaultParagraphFont"/>
    <w:link w:val="Heading4"/>
    <w:uiPriority w:val="9"/>
    <w:semiHidden/>
    <w:rsid w:val="00F400CD"/>
    <w:rPr>
      <w:rFonts w:asciiTheme="majorHAnsi" w:eastAsiaTheme="majorEastAsia" w:hAnsiTheme="majorHAnsi" w:cstheme="majorBidi"/>
      <w:i/>
      <w:iCs/>
      <w:color w:val="365F91" w:themeColor="accent1" w:themeShade="BF"/>
      <w:sz w:val="24"/>
      <w:szCs w:val="20"/>
    </w:rPr>
  </w:style>
  <w:style w:type="paragraph" w:customStyle="1" w:styleId="Bullet4">
    <w:name w:val="Bullet 4"/>
    <w:basedOn w:val="Normal"/>
    <w:rsid w:val="00F400CD"/>
    <w:pPr>
      <w:keepLines/>
      <w:numPr>
        <w:numId w:val="1"/>
      </w:numPr>
      <w:spacing w:before="60" w:after="60"/>
      <w:jc w:val="left"/>
    </w:pPr>
    <w:rPr>
      <w:rFonts w:ascii="Arial" w:hAnsi="Arial"/>
      <w:szCs w:val="24"/>
      <w:lang w:eastAsia="en-GB"/>
    </w:rPr>
  </w:style>
  <w:style w:type="character" w:styleId="CommentReference">
    <w:name w:val="annotation reference"/>
    <w:basedOn w:val="DefaultParagraphFont"/>
    <w:uiPriority w:val="99"/>
    <w:semiHidden/>
    <w:unhideWhenUsed/>
    <w:rsid w:val="00D57C55"/>
    <w:rPr>
      <w:sz w:val="16"/>
      <w:szCs w:val="16"/>
    </w:rPr>
  </w:style>
  <w:style w:type="paragraph" w:styleId="CommentText">
    <w:name w:val="annotation text"/>
    <w:basedOn w:val="Normal"/>
    <w:link w:val="CommentTextChar"/>
    <w:uiPriority w:val="99"/>
    <w:semiHidden/>
    <w:unhideWhenUsed/>
    <w:rsid w:val="00D57C55"/>
    <w:rPr>
      <w:sz w:val="20"/>
    </w:rPr>
  </w:style>
  <w:style w:type="character" w:customStyle="1" w:styleId="CommentTextChar">
    <w:name w:val="Comment Text Char"/>
    <w:basedOn w:val="DefaultParagraphFont"/>
    <w:link w:val="CommentText"/>
    <w:uiPriority w:val="99"/>
    <w:semiHidden/>
    <w:rsid w:val="00D57C55"/>
    <w:rPr>
      <w:rFonts w:ascii="Verdana" w:eastAsia="Times New Roman" w:hAnsi="Verdana" w:cs="Times New Roman"/>
      <w:sz w:val="20"/>
      <w:szCs w:val="20"/>
    </w:rPr>
  </w:style>
  <w:style w:type="paragraph" w:styleId="CommentSubject">
    <w:name w:val="annotation subject"/>
    <w:basedOn w:val="CommentText"/>
    <w:next w:val="CommentText"/>
    <w:link w:val="CommentSubjectChar"/>
    <w:uiPriority w:val="99"/>
    <w:semiHidden/>
    <w:unhideWhenUsed/>
    <w:rsid w:val="00D57C55"/>
    <w:rPr>
      <w:b/>
      <w:bCs/>
    </w:rPr>
  </w:style>
  <w:style w:type="character" w:customStyle="1" w:styleId="CommentSubjectChar">
    <w:name w:val="Comment Subject Char"/>
    <w:basedOn w:val="CommentTextChar"/>
    <w:link w:val="CommentSubject"/>
    <w:uiPriority w:val="99"/>
    <w:semiHidden/>
    <w:rsid w:val="00D57C55"/>
    <w:rPr>
      <w:rFonts w:ascii="Verdana" w:eastAsia="Times New Roman" w:hAnsi="Verdana" w:cs="Times New Roman"/>
      <w:b/>
      <w:bCs/>
      <w:sz w:val="20"/>
      <w:szCs w:val="20"/>
    </w:rPr>
  </w:style>
  <w:style w:type="paragraph" w:styleId="NoSpacing">
    <w:name w:val="No Spacing"/>
    <w:uiPriority w:val="1"/>
    <w:qFormat/>
    <w:rsid w:val="00764301"/>
    <w:pPr>
      <w:spacing w:before="0"/>
    </w:pPr>
    <w:rPr>
      <w:rFonts w:ascii="Verdana" w:eastAsia="Times New Roman" w:hAnsi="Verdana" w:cs="Times New Roman"/>
      <w:szCs w:val="20"/>
    </w:rPr>
  </w:style>
  <w:style w:type="table" w:customStyle="1" w:styleId="TableGrid1">
    <w:name w:val="Table Grid1"/>
    <w:basedOn w:val="TableNormal"/>
    <w:next w:val="TableGrid"/>
    <w:rsid w:val="001F7209"/>
    <w:pPr>
      <w:spacing w:before="0"/>
      <w:jc w:val="left"/>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878269">
      <w:bodyDiv w:val="1"/>
      <w:marLeft w:val="0"/>
      <w:marRight w:val="0"/>
      <w:marTop w:val="0"/>
      <w:marBottom w:val="0"/>
      <w:divBdr>
        <w:top w:val="none" w:sz="0" w:space="0" w:color="auto"/>
        <w:left w:val="none" w:sz="0" w:space="0" w:color="auto"/>
        <w:bottom w:val="none" w:sz="0" w:space="0" w:color="auto"/>
        <w:right w:val="none" w:sz="0" w:space="0" w:color="auto"/>
      </w:divBdr>
    </w:div>
    <w:div w:id="265694350">
      <w:bodyDiv w:val="1"/>
      <w:marLeft w:val="0"/>
      <w:marRight w:val="0"/>
      <w:marTop w:val="0"/>
      <w:marBottom w:val="0"/>
      <w:divBdr>
        <w:top w:val="none" w:sz="0" w:space="0" w:color="auto"/>
        <w:left w:val="none" w:sz="0" w:space="0" w:color="auto"/>
        <w:bottom w:val="none" w:sz="0" w:space="0" w:color="auto"/>
        <w:right w:val="none" w:sz="0" w:space="0" w:color="auto"/>
      </w:divBdr>
      <w:divsChild>
        <w:div w:id="909147720">
          <w:marLeft w:val="547"/>
          <w:marRight w:val="0"/>
          <w:marTop w:val="134"/>
          <w:marBottom w:val="0"/>
          <w:divBdr>
            <w:top w:val="none" w:sz="0" w:space="0" w:color="auto"/>
            <w:left w:val="none" w:sz="0" w:space="0" w:color="auto"/>
            <w:bottom w:val="none" w:sz="0" w:space="0" w:color="auto"/>
            <w:right w:val="none" w:sz="0" w:space="0" w:color="auto"/>
          </w:divBdr>
        </w:div>
        <w:div w:id="1738821520">
          <w:marLeft w:val="1166"/>
          <w:marRight w:val="0"/>
          <w:marTop w:val="115"/>
          <w:marBottom w:val="0"/>
          <w:divBdr>
            <w:top w:val="none" w:sz="0" w:space="0" w:color="auto"/>
            <w:left w:val="none" w:sz="0" w:space="0" w:color="auto"/>
            <w:bottom w:val="none" w:sz="0" w:space="0" w:color="auto"/>
            <w:right w:val="none" w:sz="0" w:space="0" w:color="auto"/>
          </w:divBdr>
        </w:div>
        <w:div w:id="1655913536">
          <w:marLeft w:val="1166"/>
          <w:marRight w:val="0"/>
          <w:marTop w:val="115"/>
          <w:marBottom w:val="0"/>
          <w:divBdr>
            <w:top w:val="none" w:sz="0" w:space="0" w:color="auto"/>
            <w:left w:val="none" w:sz="0" w:space="0" w:color="auto"/>
            <w:bottom w:val="none" w:sz="0" w:space="0" w:color="auto"/>
            <w:right w:val="none" w:sz="0" w:space="0" w:color="auto"/>
          </w:divBdr>
        </w:div>
        <w:div w:id="1355040075">
          <w:marLeft w:val="1166"/>
          <w:marRight w:val="0"/>
          <w:marTop w:val="115"/>
          <w:marBottom w:val="0"/>
          <w:divBdr>
            <w:top w:val="none" w:sz="0" w:space="0" w:color="auto"/>
            <w:left w:val="none" w:sz="0" w:space="0" w:color="auto"/>
            <w:bottom w:val="none" w:sz="0" w:space="0" w:color="auto"/>
            <w:right w:val="none" w:sz="0" w:space="0" w:color="auto"/>
          </w:divBdr>
        </w:div>
        <w:div w:id="2014457595">
          <w:marLeft w:val="1166"/>
          <w:marRight w:val="0"/>
          <w:marTop w:val="115"/>
          <w:marBottom w:val="0"/>
          <w:divBdr>
            <w:top w:val="none" w:sz="0" w:space="0" w:color="auto"/>
            <w:left w:val="none" w:sz="0" w:space="0" w:color="auto"/>
            <w:bottom w:val="none" w:sz="0" w:space="0" w:color="auto"/>
            <w:right w:val="none" w:sz="0" w:space="0" w:color="auto"/>
          </w:divBdr>
        </w:div>
        <w:div w:id="366180896">
          <w:marLeft w:val="1166"/>
          <w:marRight w:val="0"/>
          <w:marTop w:val="115"/>
          <w:marBottom w:val="0"/>
          <w:divBdr>
            <w:top w:val="none" w:sz="0" w:space="0" w:color="auto"/>
            <w:left w:val="none" w:sz="0" w:space="0" w:color="auto"/>
            <w:bottom w:val="none" w:sz="0" w:space="0" w:color="auto"/>
            <w:right w:val="none" w:sz="0" w:space="0" w:color="auto"/>
          </w:divBdr>
        </w:div>
        <w:div w:id="611134218">
          <w:marLeft w:val="1166"/>
          <w:marRight w:val="0"/>
          <w:marTop w:val="115"/>
          <w:marBottom w:val="0"/>
          <w:divBdr>
            <w:top w:val="none" w:sz="0" w:space="0" w:color="auto"/>
            <w:left w:val="none" w:sz="0" w:space="0" w:color="auto"/>
            <w:bottom w:val="none" w:sz="0" w:space="0" w:color="auto"/>
            <w:right w:val="none" w:sz="0" w:space="0" w:color="auto"/>
          </w:divBdr>
        </w:div>
        <w:div w:id="1212420458">
          <w:marLeft w:val="1166"/>
          <w:marRight w:val="0"/>
          <w:marTop w:val="115"/>
          <w:marBottom w:val="0"/>
          <w:divBdr>
            <w:top w:val="none" w:sz="0" w:space="0" w:color="auto"/>
            <w:left w:val="none" w:sz="0" w:space="0" w:color="auto"/>
            <w:bottom w:val="none" w:sz="0" w:space="0" w:color="auto"/>
            <w:right w:val="none" w:sz="0" w:space="0" w:color="auto"/>
          </w:divBdr>
        </w:div>
      </w:divsChild>
    </w:div>
    <w:div w:id="274295823">
      <w:bodyDiv w:val="1"/>
      <w:marLeft w:val="0"/>
      <w:marRight w:val="0"/>
      <w:marTop w:val="0"/>
      <w:marBottom w:val="0"/>
      <w:divBdr>
        <w:top w:val="none" w:sz="0" w:space="0" w:color="auto"/>
        <w:left w:val="none" w:sz="0" w:space="0" w:color="auto"/>
        <w:bottom w:val="none" w:sz="0" w:space="0" w:color="auto"/>
        <w:right w:val="none" w:sz="0" w:space="0" w:color="auto"/>
      </w:divBdr>
    </w:div>
    <w:div w:id="413671106">
      <w:bodyDiv w:val="1"/>
      <w:marLeft w:val="0"/>
      <w:marRight w:val="0"/>
      <w:marTop w:val="0"/>
      <w:marBottom w:val="0"/>
      <w:divBdr>
        <w:top w:val="none" w:sz="0" w:space="0" w:color="auto"/>
        <w:left w:val="none" w:sz="0" w:space="0" w:color="auto"/>
        <w:bottom w:val="none" w:sz="0" w:space="0" w:color="auto"/>
        <w:right w:val="none" w:sz="0" w:space="0" w:color="auto"/>
      </w:divBdr>
    </w:div>
    <w:div w:id="577398777">
      <w:bodyDiv w:val="1"/>
      <w:marLeft w:val="0"/>
      <w:marRight w:val="0"/>
      <w:marTop w:val="0"/>
      <w:marBottom w:val="0"/>
      <w:divBdr>
        <w:top w:val="none" w:sz="0" w:space="0" w:color="auto"/>
        <w:left w:val="none" w:sz="0" w:space="0" w:color="auto"/>
        <w:bottom w:val="none" w:sz="0" w:space="0" w:color="auto"/>
        <w:right w:val="none" w:sz="0" w:space="0" w:color="auto"/>
      </w:divBdr>
    </w:div>
    <w:div w:id="863206141">
      <w:bodyDiv w:val="1"/>
      <w:marLeft w:val="0"/>
      <w:marRight w:val="0"/>
      <w:marTop w:val="0"/>
      <w:marBottom w:val="0"/>
      <w:divBdr>
        <w:top w:val="none" w:sz="0" w:space="0" w:color="auto"/>
        <w:left w:val="none" w:sz="0" w:space="0" w:color="auto"/>
        <w:bottom w:val="none" w:sz="0" w:space="0" w:color="auto"/>
        <w:right w:val="none" w:sz="0" w:space="0" w:color="auto"/>
      </w:divBdr>
      <w:divsChild>
        <w:div w:id="235748274">
          <w:marLeft w:val="547"/>
          <w:marRight w:val="0"/>
          <w:marTop w:val="115"/>
          <w:marBottom w:val="0"/>
          <w:divBdr>
            <w:top w:val="none" w:sz="0" w:space="0" w:color="auto"/>
            <w:left w:val="none" w:sz="0" w:space="0" w:color="auto"/>
            <w:bottom w:val="none" w:sz="0" w:space="0" w:color="auto"/>
            <w:right w:val="none" w:sz="0" w:space="0" w:color="auto"/>
          </w:divBdr>
        </w:div>
        <w:div w:id="604120794">
          <w:marLeft w:val="1166"/>
          <w:marRight w:val="0"/>
          <w:marTop w:val="115"/>
          <w:marBottom w:val="0"/>
          <w:divBdr>
            <w:top w:val="none" w:sz="0" w:space="0" w:color="auto"/>
            <w:left w:val="none" w:sz="0" w:space="0" w:color="auto"/>
            <w:bottom w:val="none" w:sz="0" w:space="0" w:color="auto"/>
            <w:right w:val="none" w:sz="0" w:space="0" w:color="auto"/>
          </w:divBdr>
        </w:div>
        <w:div w:id="947157473">
          <w:marLeft w:val="547"/>
          <w:marRight w:val="0"/>
          <w:marTop w:val="115"/>
          <w:marBottom w:val="0"/>
          <w:divBdr>
            <w:top w:val="none" w:sz="0" w:space="0" w:color="auto"/>
            <w:left w:val="none" w:sz="0" w:space="0" w:color="auto"/>
            <w:bottom w:val="none" w:sz="0" w:space="0" w:color="auto"/>
            <w:right w:val="none" w:sz="0" w:space="0" w:color="auto"/>
          </w:divBdr>
        </w:div>
        <w:div w:id="1418093355">
          <w:marLeft w:val="1166"/>
          <w:marRight w:val="0"/>
          <w:marTop w:val="115"/>
          <w:marBottom w:val="0"/>
          <w:divBdr>
            <w:top w:val="none" w:sz="0" w:space="0" w:color="auto"/>
            <w:left w:val="none" w:sz="0" w:space="0" w:color="auto"/>
            <w:bottom w:val="none" w:sz="0" w:space="0" w:color="auto"/>
            <w:right w:val="none" w:sz="0" w:space="0" w:color="auto"/>
          </w:divBdr>
        </w:div>
        <w:div w:id="287396376">
          <w:marLeft w:val="547"/>
          <w:marRight w:val="0"/>
          <w:marTop w:val="115"/>
          <w:marBottom w:val="0"/>
          <w:divBdr>
            <w:top w:val="none" w:sz="0" w:space="0" w:color="auto"/>
            <w:left w:val="none" w:sz="0" w:space="0" w:color="auto"/>
            <w:bottom w:val="none" w:sz="0" w:space="0" w:color="auto"/>
            <w:right w:val="none" w:sz="0" w:space="0" w:color="auto"/>
          </w:divBdr>
        </w:div>
        <w:div w:id="1365787213">
          <w:marLeft w:val="547"/>
          <w:marRight w:val="0"/>
          <w:marTop w:val="115"/>
          <w:marBottom w:val="0"/>
          <w:divBdr>
            <w:top w:val="none" w:sz="0" w:space="0" w:color="auto"/>
            <w:left w:val="none" w:sz="0" w:space="0" w:color="auto"/>
            <w:bottom w:val="none" w:sz="0" w:space="0" w:color="auto"/>
            <w:right w:val="none" w:sz="0" w:space="0" w:color="auto"/>
          </w:divBdr>
        </w:div>
        <w:div w:id="399717688">
          <w:marLeft w:val="547"/>
          <w:marRight w:val="0"/>
          <w:marTop w:val="115"/>
          <w:marBottom w:val="0"/>
          <w:divBdr>
            <w:top w:val="none" w:sz="0" w:space="0" w:color="auto"/>
            <w:left w:val="none" w:sz="0" w:space="0" w:color="auto"/>
            <w:bottom w:val="none" w:sz="0" w:space="0" w:color="auto"/>
            <w:right w:val="none" w:sz="0" w:space="0" w:color="auto"/>
          </w:divBdr>
        </w:div>
      </w:divsChild>
    </w:div>
    <w:div w:id="1092042649">
      <w:bodyDiv w:val="1"/>
      <w:marLeft w:val="0"/>
      <w:marRight w:val="0"/>
      <w:marTop w:val="0"/>
      <w:marBottom w:val="0"/>
      <w:divBdr>
        <w:top w:val="none" w:sz="0" w:space="0" w:color="auto"/>
        <w:left w:val="none" w:sz="0" w:space="0" w:color="auto"/>
        <w:bottom w:val="none" w:sz="0" w:space="0" w:color="auto"/>
        <w:right w:val="none" w:sz="0" w:space="0" w:color="auto"/>
      </w:divBdr>
      <w:divsChild>
        <w:div w:id="305548831">
          <w:marLeft w:val="547"/>
          <w:marRight w:val="0"/>
          <w:marTop w:val="115"/>
          <w:marBottom w:val="0"/>
          <w:divBdr>
            <w:top w:val="none" w:sz="0" w:space="0" w:color="auto"/>
            <w:left w:val="none" w:sz="0" w:space="0" w:color="auto"/>
            <w:bottom w:val="none" w:sz="0" w:space="0" w:color="auto"/>
            <w:right w:val="none" w:sz="0" w:space="0" w:color="auto"/>
          </w:divBdr>
        </w:div>
        <w:div w:id="2140144932">
          <w:marLeft w:val="547"/>
          <w:marRight w:val="0"/>
          <w:marTop w:val="115"/>
          <w:marBottom w:val="0"/>
          <w:divBdr>
            <w:top w:val="none" w:sz="0" w:space="0" w:color="auto"/>
            <w:left w:val="none" w:sz="0" w:space="0" w:color="auto"/>
            <w:bottom w:val="none" w:sz="0" w:space="0" w:color="auto"/>
            <w:right w:val="none" w:sz="0" w:space="0" w:color="auto"/>
          </w:divBdr>
        </w:div>
        <w:div w:id="1977905337">
          <w:marLeft w:val="547"/>
          <w:marRight w:val="0"/>
          <w:marTop w:val="115"/>
          <w:marBottom w:val="0"/>
          <w:divBdr>
            <w:top w:val="none" w:sz="0" w:space="0" w:color="auto"/>
            <w:left w:val="none" w:sz="0" w:space="0" w:color="auto"/>
            <w:bottom w:val="none" w:sz="0" w:space="0" w:color="auto"/>
            <w:right w:val="none" w:sz="0" w:space="0" w:color="auto"/>
          </w:divBdr>
        </w:div>
        <w:div w:id="1806316942">
          <w:marLeft w:val="547"/>
          <w:marRight w:val="0"/>
          <w:marTop w:val="115"/>
          <w:marBottom w:val="0"/>
          <w:divBdr>
            <w:top w:val="none" w:sz="0" w:space="0" w:color="auto"/>
            <w:left w:val="none" w:sz="0" w:space="0" w:color="auto"/>
            <w:bottom w:val="none" w:sz="0" w:space="0" w:color="auto"/>
            <w:right w:val="none" w:sz="0" w:space="0" w:color="auto"/>
          </w:divBdr>
        </w:div>
        <w:div w:id="968166679">
          <w:marLeft w:val="547"/>
          <w:marRight w:val="0"/>
          <w:marTop w:val="115"/>
          <w:marBottom w:val="0"/>
          <w:divBdr>
            <w:top w:val="none" w:sz="0" w:space="0" w:color="auto"/>
            <w:left w:val="none" w:sz="0" w:space="0" w:color="auto"/>
            <w:bottom w:val="none" w:sz="0" w:space="0" w:color="auto"/>
            <w:right w:val="none" w:sz="0" w:space="0" w:color="auto"/>
          </w:divBdr>
        </w:div>
        <w:div w:id="1220244394">
          <w:marLeft w:val="547"/>
          <w:marRight w:val="0"/>
          <w:marTop w:val="115"/>
          <w:marBottom w:val="0"/>
          <w:divBdr>
            <w:top w:val="none" w:sz="0" w:space="0" w:color="auto"/>
            <w:left w:val="none" w:sz="0" w:space="0" w:color="auto"/>
            <w:bottom w:val="none" w:sz="0" w:space="0" w:color="auto"/>
            <w:right w:val="none" w:sz="0" w:space="0" w:color="auto"/>
          </w:divBdr>
        </w:div>
        <w:div w:id="673844398">
          <w:marLeft w:val="547"/>
          <w:marRight w:val="0"/>
          <w:marTop w:val="115"/>
          <w:marBottom w:val="0"/>
          <w:divBdr>
            <w:top w:val="none" w:sz="0" w:space="0" w:color="auto"/>
            <w:left w:val="none" w:sz="0" w:space="0" w:color="auto"/>
            <w:bottom w:val="none" w:sz="0" w:space="0" w:color="auto"/>
            <w:right w:val="none" w:sz="0" w:space="0" w:color="auto"/>
          </w:divBdr>
        </w:div>
        <w:div w:id="396589423">
          <w:marLeft w:val="547"/>
          <w:marRight w:val="0"/>
          <w:marTop w:val="115"/>
          <w:marBottom w:val="0"/>
          <w:divBdr>
            <w:top w:val="none" w:sz="0" w:space="0" w:color="auto"/>
            <w:left w:val="none" w:sz="0" w:space="0" w:color="auto"/>
            <w:bottom w:val="none" w:sz="0" w:space="0" w:color="auto"/>
            <w:right w:val="none" w:sz="0" w:space="0" w:color="auto"/>
          </w:divBdr>
        </w:div>
      </w:divsChild>
    </w:div>
    <w:div w:id="1119445942">
      <w:bodyDiv w:val="1"/>
      <w:marLeft w:val="0"/>
      <w:marRight w:val="0"/>
      <w:marTop w:val="0"/>
      <w:marBottom w:val="0"/>
      <w:divBdr>
        <w:top w:val="none" w:sz="0" w:space="0" w:color="auto"/>
        <w:left w:val="none" w:sz="0" w:space="0" w:color="auto"/>
        <w:bottom w:val="none" w:sz="0" w:space="0" w:color="auto"/>
        <w:right w:val="none" w:sz="0" w:space="0" w:color="auto"/>
      </w:divBdr>
    </w:div>
    <w:div w:id="1168442645">
      <w:bodyDiv w:val="1"/>
      <w:marLeft w:val="0"/>
      <w:marRight w:val="0"/>
      <w:marTop w:val="0"/>
      <w:marBottom w:val="0"/>
      <w:divBdr>
        <w:top w:val="none" w:sz="0" w:space="0" w:color="auto"/>
        <w:left w:val="none" w:sz="0" w:space="0" w:color="auto"/>
        <w:bottom w:val="none" w:sz="0" w:space="0" w:color="auto"/>
        <w:right w:val="none" w:sz="0" w:space="0" w:color="auto"/>
      </w:divBdr>
    </w:div>
    <w:div w:id="1254507531">
      <w:bodyDiv w:val="1"/>
      <w:marLeft w:val="0"/>
      <w:marRight w:val="0"/>
      <w:marTop w:val="0"/>
      <w:marBottom w:val="0"/>
      <w:divBdr>
        <w:top w:val="none" w:sz="0" w:space="0" w:color="auto"/>
        <w:left w:val="none" w:sz="0" w:space="0" w:color="auto"/>
        <w:bottom w:val="none" w:sz="0" w:space="0" w:color="auto"/>
        <w:right w:val="none" w:sz="0" w:space="0" w:color="auto"/>
      </w:divBdr>
    </w:div>
    <w:div w:id="1387266698">
      <w:bodyDiv w:val="1"/>
      <w:marLeft w:val="0"/>
      <w:marRight w:val="0"/>
      <w:marTop w:val="0"/>
      <w:marBottom w:val="0"/>
      <w:divBdr>
        <w:top w:val="none" w:sz="0" w:space="0" w:color="auto"/>
        <w:left w:val="none" w:sz="0" w:space="0" w:color="auto"/>
        <w:bottom w:val="none" w:sz="0" w:space="0" w:color="auto"/>
        <w:right w:val="none" w:sz="0" w:space="0" w:color="auto"/>
      </w:divBdr>
    </w:div>
    <w:div w:id="1475754763">
      <w:bodyDiv w:val="1"/>
      <w:marLeft w:val="0"/>
      <w:marRight w:val="0"/>
      <w:marTop w:val="0"/>
      <w:marBottom w:val="0"/>
      <w:divBdr>
        <w:top w:val="none" w:sz="0" w:space="0" w:color="auto"/>
        <w:left w:val="none" w:sz="0" w:space="0" w:color="auto"/>
        <w:bottom w:val="none" w:sz="0" w:space="0" w:color="auto"/>
        <w:right w:val="none" w:sz="0" w:space="0" w:color="auto"/>
      </w:divBdr>
    </w:div>
    <w:div w:id="1615332803">
      <w:bodyDiv w:val="1"/>
      <w:marLeft w:val="0"/>
      <w:marRight w:val="0"/>
      <w:marTop w:val="0"/>
      <w:marBottom w:val="0"/>
      <w:divBdr>
        <w:top w:val="none" w:sz="0" w:space="0" w:color="auto"/>
        <w:left w:val="none" w:sz="0" w:space="0" w:color="auto"/>
        <w:bottom w:val="none" w:sz="0" w:space="0" w:color="auto"/>
        <w:right w:val="none" w:sz="0" w:space="0" w:color="auto"/>
      </w:divBdr>
      <w:divsChild>
        <w:div w:id="1089156458">
          <w:marLeft w:val="547"/>
          <w:marRight w:val="0"/>
          <w:marTop w:val="115"/>
          <w:marBottom w:val="0"/>
          <w:divBdr>
            <w:top w:val="none" w:sz="0" w:space="0" w:color="auto"/>
            <w:left w:val="none" w:sz="0" w:space="0" w:color="auto"/>
            <w:bottom w:val="none" w:sz="0" w:space="0" w:color="auto"/>
            <w:right w:val="none" w:sz="0" w:space="0" w:color="auto"/>
          </w:divBdr>
        </w:div>
        <w:div w:id="1561554733">
          <w:marLeft w:val="1166"/>
          <w:marRight w:val="0"/>
          <w:marTop w:val="115"/>
          <w:marBottom w:val="0"/>
          <w:divBdr>
            <w:top w:val="none" w:sz="0" w:space="0" w:color="auto"/>
            <w:left w:val="none" w:sz="0" w:space="0" w:color="auto"/>
            <w:bottom w:val="none" w:sz="0" w:space="0" w:color="auto"/>
            <w:right w:val="none" w:sz="0" w:space="0" w:color="auto"/>
          </w:divBdr>
        </w:div>
        <w:div w:id="1677732197">
          <w:marLeft w:val="547"/>
          <w:marRight w:val="0"/>
          <w:marTop w:val="115"/>
          <w:marBottom w:val="0"/>
          <w:divBdr>
            <w:top w:val="none" w:sz="0" w:space="0" w:color="auto"/>
            <w:left w:val="none" w:sz="0" w:space="0" w:color="auto"/>
            <w:bottom w:val="none" w:sz="0" w:space="0" w:color="auto"/>
            <w:right w:val="none" w:sz="0" w:space="0" w:color="auto"/>
          </w:divBdr>
        </w:div>
        <w:div w:id="665672835">
          <w:marLeft w:val="1166"/>
          <w:marRight w:val="0"/>
          <w:marTop w:val="115"/>
          <w:marBottom w:val="0"/>
          <w:divBdr>
            <w:top w:val="none" w:sz="0" w:space="0" w:color="auto"/>
            <w:left w:val="none" w:sz="0" w:space="0" w:color="auto"/>
            <w:bottom w:val="none" w:sz="0" w:space="0" w:color="auto"/>
            <w:right w:val="none" w:sz="0" w:space="0" w:color="auto"/>
          </w:divBdr>
        </w:div>
        <w:div w:id="110705623">
          <w:marLeft w:val="547"/>
          <w:marRight w:val="0"/>
          <w:marTop w:val="115"/>
          <w:marBottom w:val="0"/>
          <w:divBdr>
            <w:top w:val="none" w:sz="0" w:space="0" w:color="auto"/>
            <w:left w:val="none" w:sz="0" w:space="0" w:color="auto"/>
            <w:bottom w:val="none" w:sz="0" w:space="0" w:color="auto"/>
            <w:right w:val="none" w:sz="0" w:space="0" w:color="auto"/>
          </w:divBdr>
        </w:div>
        <w:div w:id="176895530">
          <w:marLeft w:val="547"/>
          <w:marRight w:val="0"/>
          <w:marTop w:val="115"/>
          <w:marBottom w:val="0"/>
          <w:divBdr>
            <w:top w:val="none" w:sz="0" w:space="0" w:color="auto"/>
            <w:left w:val="none" w:sz="0" w:space="0" w:color="auto"/>
            <w:bottom w:val="none" w:sz="0" w:space="0" w:color="auto"/>
            <w:right w:val="none" w:sz="0" w:space="0" w:color="auto"/>
          </w:divBdr>
        </w:div>
        <w:div w:id="2134863795">
          <w:marLeft w:val="547"/>
          <w:marRight w:val="0"/>
          <w:marTop w:val="115"/>
          <w:marBottom w:val="0"/>
          <w:divBdr>
            <w:top w:val="none" w:sz="0" w:space="0" w:color="auto"/>
            <w:left w:val="none" w:sz="0" w:space="0" w:color="auto"/>
            <w:bottom w:val="none" w:sz="0" w:space="0" w:color="auto"/>
            <w:right w:val="none" w:sz="0" w:space="0" w:color="auto"/>
          </w:divBdr>
        </w:div>
      </w:divsChild>
    </w:div>
    <w:div w:id="1731542123">
      <w:bodyDiv w:val="1"/>
      <w:marLeft w:val="0"/>
      <w:marRight w:val="0"/>
      <w:marTop w:val="0"/>
      <w:marBottom w:val="0"/>
      <w:divBdr>
        <w:top w:val="none" w:sz="0" w:space="0" w:color="auto"/>
        <w:left w:val="none" w:sz="0" w:space="0" w:color="auto"/>
        <w:bottom w:val="none" w:sz="0" w:space="0" w:color="auto"/>
        <w:right w:val="none" w:sz="0" w:space="0" w:color="auto"/>
      </w:divBdr>
    </w:div>
    <w:div w:id="1881087933">
      <w:bodyDiv w:val="1"/>
      <w:marLeft w:val="0"/>
      <w:marRight w:val="0"/>
      <w:marTop w:val="0"/>
      <w:marBottom w:val="0"/>
      <w:divBdr>
        <w:top w:val="none" w:sz="0" w:space="0" w:color="auto"/>
        <w:left w:val="none" w:sz="0" w:space="0" w:color="auto"/>
        <w:bottom w:val="none" w:sz="0" w:space="0" w:color="auto"/>
        <w:right w:val="none" w:sz="0" w:space="0" w:color="auto"/>
      </w:divBdr>
      <w:divsChild>
        <w:div w:id="1307204015">
          <w:marLeft w:val="547"/>
          <w:marRight w:val="0"/>
          <w:marTop w:val="134"/>
          <w:marBottom w:val="0"/>
          <w:divBdr>
            <w:top w:val="none" w:sz="0" w:space="0" w:color="auto"/>
            <w:left w:val="none" w:sz="0" w:space="0" w:color="auto"/>
            <w:bottom w:val="none" w:sz="0" w:space="0" w:color="auto"/>
            <w:right w:val="none" w:sz="0" w:space="0" w:color="auto"/>
          </w:divBdr>
        </w:div>
        <w:div w:id="429207217">
          <w:marLeft w:val="1166"/>
          <w:marRight w:val="0"/>
          <w:marTop w:val="115"/>
          <w:marBottom w:val="0"/>
          <w:divBdr>
            <w:top w:val="none" w:sz="0" w:space="0" w:color="auto"/>
            <w:left w:val="none" w:sz="0" w:space="0" w:color="auto"/>
            <w:bottom w:val="none" w:sz="0" w:space="0" w:color="auto"/>
            <w:right w:val="none" w:sz="0" w:space="0" w:color="auto"/>
          </w:divBdr>
        </w:div>
        <w:div w:id="1349678048">
          <w:marLeft w:val="1166"/>
          <w:marRight w:val="0"/>
          <w:marTop w:val="115"/>
          <w:marBottom w:val="0"/>
          <w:divBdr>
            <w:top w:val="none" w:sz="0" w:space="0" w:color="auto"/>
            <w:left w:val="none" w:sz="0" w:space="0" w:color="auto"/>
            <w:bottom w:val="none" w:sz="0" w:space="0" w:color="auto"/>
            <w:right w:val="none" w:sz="0" w:space="0" w:color="auto"/>
          </w:divBdr>
        </w:div>
        <w:div w:id="2064088991">
          <w:marLeft w:val="1166"/>
          <w:marRight w:val="0"/>
          <w:marTop w:val="115"/>
          <w:marBottom w:val="0"/>
          <w:divBdr>
            <w:top w:val="none" w:sz="0" w:space="0" w:color="auto"/>
            <w:left w:val="none" w:sz="0" w:space="0" w:color="auto"/>
            <w:bottom w:val="none" w:sz="0" w:space="0" w:color="auto"/>
            <w:right w:val="none" w:sz="0" w:space="0" w:color="auto"/>
          </w:divBdr>
        </w:div>
        <w:div w:id="1760712858">
          <w:marLeft w:val="1166"/>
          <w:marRight w:val="0"/>
          <w:marTop w:val="115"/>
          <w:marBottom w:val="0"/>
          <w:divBdr>
            <w:top w:val="none" w:sz="0" w:space="0" w:color="auto"/>
            <w:left w:val="none" w:sz="0" w:space="0" w:color="auto"/>
            <w:bottom w:val="none" w:sz="0" w:space="0" w:color="auto"/>
            <w:right w:val="none" w:sz="0" w:space="0" w:color="auto"/>
          </w:divBdr>
        </w:div>
        <w:div w:id="1961103737">
          <w:marLeft w:val="1166"/>
          <w:marRight w:val="0"/>
          <w:marTop w:val="115"/>
          <w:marBottom w:val="0"/>
          <w:divBdr>
            <w:top w:val="none" w:sz="0" w:space="0" w:color="auto"/>
            <w:left w:val="none" w:sz="0" w:space="0" w:color="auto"/>
            <w:bottom w:val="none" w:sz="0" w:space="0" w:color="auto"/>
            <w:right w:val="none" w:sz="0" w:space="0" w:color="auto"/>
          </w:divBdr>
        </w:div>
        <w:div w:id="1041710374">
          <w:marLeft w:val="1166"/>
          <w:marRight w:val="0"/>
          <w:marTop w:val="115"/>
          <w:marBottom w:val="0"/>
          <w:divBdr>
            <w:top w:val="none" w:sz="0" w:space="0" w:color="auto"/>
            <w:left w:val="none" w:sz="0" w:space="0" w:color="auto"/>
            <w:bottom w:val="none" w:sz="0" w:space="0" w:color="auto"/>
            <w:right w:val="none" w:sz="0" w:space="0" w:color="auto"/>
          </w:divBdr>
        </w:div>
        <w:div w:id="627904947">
          <w:marLeft w:val="1166"/>
          <w:marRight w:val="0"/>
          <w:marTop w:val="115"/>
          <w:marBottom w:val="0"/>
          <w:divBdr>
            <w:top w:val="none" w:sz="0" w:space="0" w:color="auto"/>
            <w:left w:val="none" w:sz="0" w:space="0" w:color="auto"/>
            <w:bottom w:val="none" w:sz="0" w:space="0" w:color="auto"/>
            <w:right w:val="none" w:sz="0" w:space="0" w:color="auto"/>
          </w:divBdr>
        </w:div>
        <w:div w:id="304511938">
          <w:marLeft w:val="1166"/>
          <w:marRight w:val="0"/>
          <w:marTop w:val="115"/>
          <w:marBottom w:val="0"/>
          <w:divBdr>
            <w:top w:val="none" w:sz="0" w:space="0" w:color="auto"/>
            <w:left w:val="none" w:sz="0" w:space="0" w:color="auto"/>
            <w:bottom w:val="none" w:sz="0" w:space="0" w:color="auto"/>
            <w:right w:val="none" w:sz="0" w:space="0" w:color="auto"/>
          </w:divBdr>
        </w:div>
        <w:div w:id="1895045960">
          <w:marLeft w:val="1166"/>
          <w:marRight w:val="0"/>
          <w:marTop w:val="115"/>
          <w:marBottom w:val="0"/>
          <w:divBdr>
            <w:top w:val="none" w:sz="0" w:space="0" w:color="auto"/>
            <w:left w:val="none" w:sz="0" w:space="0" w:color="auto"/>
            <w:bottom w:val="none" w:sz="0" w:space="0" w:color="auto"/>
            <w:right w:val="none" w:sz="0" w:space="0" w:color="auto"/>
          </w:divBdr>
        </w:div>
        <w:div w:id="863638312">
          <w:marLeft w:val="1166"/>
          <w:marRight w:val="0"/>
          <w:marTop w:val="115"/>
          <w:marBottom w:val="0"/>
          <w:divBdr>
            <w:top w:val="none" w:sz="0" w:space="0" w:color="auto"/>
            <w:left w:val="none" w:sz="0" w:space="0" w:color="auto"/>
            <w:bottom w:val="none" w:sz="0" w:space="0" w:color="auto"/>
            <w:right w:val="none" w:sz="0" w:space="0" w:color="auto"/>
          </w:divBdr>
        </w:div>
      </w:divsChild>
    </w:div>
    <w:div w:id="1892885670">
      <w:bodyDiv w:val="1"/>
      <w:marLeft w:val="0"/>
      <w:marRight w:val="0"/>
      <w:marTop w:val="0"/>
      <w:marBottom w:val="0"/>
      <w:divBdr>
        <w:top w:val="none" w:sz="0" w:space="0" w:color="auto"/>
        <w:left w:val="none" w:sz="0" w:space="0" w:color="auto"/>
        <w:bottom w:val="none" w:sz="0" w:space="0" w:color="auto"/>
        <w:right w:val="none" w:sz="0" w:space="0" w:color="auto"/>
      </w:divBdr>
    </w:div>
    <w:div w:id="1983078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896C27-15E9-44BC-9689-6C56FAB251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1992</Words>
  <Characters>11360</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13326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st093123</dc:creator>
  <cp:lastModifiedBy>Judith Bates (NHS Wales Health Collaborative)</cp:lastModifiedBy>
  <cp:revision>2</cp:revision>
  <cp:lastPrinted>2020-11-20T13:38:00Z</cp:lastPrinted>
  <dcterms:created xsi:type="dcterms:W3CDTF">2020-11-20T13:39:00Z</dcterms:created>
  <dcterms:modified xsi:type="dcterms:W3CDTF">2020-11-20T13:39:00Z</dcterms:modified>
</cp:coreProperties>
</file>