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29230" w14:textId="77777777" w:rsidR="003002CA" w:rsidRPr="004F7DE5" w:rsidRDefault="003002CA" w:rsidP="003002CA">
      <w:pPr>
        <w:spacing w:line="259" w:lineRule="auto"/>
        <w:rPr>
          <w:rFonts w:ascii="Tenorite" w:hAnsi="Tenorite"/>
          <w:b/>
          <w:bCs/>
          <w:sz w:val="28"/>
          <w:szCs w:val="28"/>
        </w:rPr>
      </w:pPr>
      <w:bookmarkStart w:id="0" w:name="_Hlk215220287"/>
      <w:r w:rsidRPr="004F7DE5">
        <w:rPr>
          <w:rFonts w:ascii="Tenorite" w:hAnsi="Tenorite"/>
          <w:b/>
          <w:bCs/>
          <w:sz w:val="28"/>
          <w:szCs w:val="28"/>
        </w:rPr>
        <w:t>Chair’s summary of meeting held 20 October 2025</w:t>
      </w:r>
    </w:p>
    <w:p w14:paraId="07AEFBA8" w14:textId="77777777" w:rsidR="003002CA" w:rsidRPr="004F7DE5" w:rsidRDefault="003002CA" w:rsidP="003002CA">
      <w:pPr>
        <w:spacing w:line="259" w:lineRule="auto"/>
        <w:rPr>
          <w:rFonts w:ascii="Tenorite" w:hAnsi="Tenorite"/>
          <w:b/>
          <w:bCs/>
          <w:sz w:val="28"/>
          <w:szCs w:val="28"/>
        </w:rPr>
      </w:pPr>
      <w:r w:rsidRPr="004F7DE5">
        <w:rPr>
          <w:rFonts w:ascii="Tenorite" w:hAnsi="Tenorite"/>
          <w:b/>
          <w:bCs/>
          <w:sz w:val="28"/>
          <w:szCs w:val="28"/>
        </w:rPr>
        <w:t>Prof Sally Holland</w:t>
      </w:r>
    </w:p>
    <w:bookmarkEnd w:id="0"/>
    <w:p w14:paraId="5EF902B1" w14:textId="77777777" w:rsidR="003002CA" w:rsidRPr="004F7DE5" w:rsidRDefault="003002CA" w:rsidP="003002CA">
      <w:pPr>
        <w:spacing w:line="259" w:lineRule="auto"/>
        <w:rPr>
          <w:rFonts w:ascii="Tenorite" w:hAnsi="Tenorite"/>
          <w:sz w:val="28"/>
          <w:szCs w:val="28"/>
        </w:rPr>
      </w:pPr>
      <w:r w:rsidRPr="004F7DE5">
        <w:rPr>
          <w:rFonts w:ascii="Tenorite" w:hAnsi="Tenorite"/>
          <w:sz w:val="28"/>
          <w:szCs w:val="28"/>
        </w:rPr>
        <w:t>The fourth meeting of the independent oversight panel for the maternity and neonatal national assurance assessment took place on 20 October.</w:t>
      </w:r>
    </w:p>
    <w:p w14:paraId="11E93604" w14:textId="77777777" w:rsidR="003002CA" w:rsidRPr="004F7DE5" w:rsidRDefault="003002CA" w:rsidP="003002CA">
      <w:pPr>
        <w:spacing w:line="259" w:lineRule="auto"/>
        <w:rPr>
          <w:rFonts w:ascii="Tenorite" w:hAnsi="Tenorite"/>
          <w:sz w:val="28"/>
          <w:szCs w:val="28"/>
        </w:rPr>
      </w:pPr>
      <w:r w:rsidRPr="004F7DE5">
        <w:rPr>
          <w:rFonts w:ascii="Tenorite" w:hAnsi="Tenorite"/>
          <w:sz w:val="28"/>
          <w:szCs w:val="28"/>
        </w:rPr>
        <w:t>The main theme of this meeting was a detailed discussion around the site visits workstream and the 15 steps approach.</w:t>
      </w:r>
    </w:p>
    <w:p w14:paraId="3AC9F8A4" w14:textId="77777777" w:rsidR="003002CA" w:rsidRPr="004F7DE5" w:rsidRDefault="003002CA" w:rsidP="003002CA">
      <w:pPr>
        <w:spacing w:line="259" w:lineRule="auto"/>
        <w:rPr>
          <w:rFonts w:ascii="Tenorite" w:hAnsi="Tenorite"/>
          <w:sz w:val="28"/>
          <w:szCs w:val="28"/>
        </w:rPr>
      </w:pPr>
      <w:r w:rsidRPr="004F7DE5">
        <w:rPr>
          <w:rFonts w:ascii="Tenorite" w:hAnsi="Tenorite"/>
          <w:sz w:val="28"/>
          <w:szCs w:val="28"/>
        </w:rPr>
        <w:t>Key discussion points and decisions made were as follows:</w:t>
      </w:r>
    </w:p>
    <w:p w14:paraId="71548677" w14:textId="77777777" w:rsidR="003002CA" w:rsidRPr="004F7DE5" w:rsidRDefault="003002CA" w:rsidP="003002CA">
      <w:pPr>
        <w:numPr>
          <w:ilvl w:val="0"/>
          <w:numId w:val="4"/>
        </w:numPr>
        <w:spacing w:line="259" w:lineRule="auto"/>
        <w:contextualSpacing/>
        <w:rPr>
          <w:rFonts w:ascii="Tenorite" w:hAnsi="Tenorite"/>
          <w:sz w:val="28"/>
          <w:szCs w:val="28"/>
        </w:rPr>
      </w:pPr>
      <w:r w:rsidRPr="004F7DE5">
        <w:rPr>
          <w:rFonts w:ascii="Tenorite" w:hAnsi="Tenorite"/>
          <w:sz w:val="28"/>
          <w:szCs w:val="28"/>
        </w:rPr>
        <w:t>The panel were briefly updated on the progress of all workstreams.  The engagement phase (Women, Parents and Families Experience and Engagement workstream and the staff experience workstream) plans are in place with dates confirmed.</w:t>
      </w:r>
    </w:p>
    <w:p w14:paraId="52B769BB" w14:textId="77777777" w:rsidR="003002CA" w:rsidRPr="004F7DE5" w:rsidRDefault="003002CA" w:rsidP="003002CA">
      <w:pPr>
        <w:numPr>
          <w:ilvl w:val="0"/>
          <w:numId w:val="4"/>
        </w:numPr>
        <w:spacing w:line="259" w:lineRule="auto"/>
        <w:contextualSpacing/>
        <w:rPr>
          <w:rFonts w:ascii="Tenorite" w:hAnsi="Tenorite"/>
          <w:sz w:val="28"/>
          <w:szCs w:val="28"/>
        </w:rPr>
      </w:pPr>
      <w:r w:rsidRPr="004F7DE5">
        <w:rPr>
          <w:rFonts w:ascii="Tenorite" w:hAnsi="Tenorite"/>
          <w:sz w:val="28"/>
          <w:szCs w:val="28"/>
        </w:rPr>
        <w:t>The site visits 15 steps workstream was subject of a deep dive in this meeting. Papers and a presentation set out the proposed 15 steps approach noting that:</w:t>
      </w:r>
    </w:p>
    <w:p w14:paraId="6160175A" w14:textId="77777777" w:rsidR="003002CA" w:rsidRPr="004F7DE5" w:rsidRDefault="003002CA" w:rsidP="003002CA">
      <w:pPr>
        <w:numPr>
          <w:ilvl w:val="1"/>
          <w:numId w:val="4"/>
        </w:numPr>
        <w:spacing w:line="259" w:lineRule="auto"/>
        <w:contextualSpacing/>
        <w:rPr>
          <w:rFonts w:ascii="Tenorite" w:hAnsi="Tenorite"/>
          <w:sz w:val="28"/>
          <w:szCs w:val="28"/>
        </w:rPr>
      </w:pPr>
      <w:r w:rsidRPr="004F7DE5">
        <w:rPr>
          <w:rFonts w:ascii="Tenorite" w:hAnsi="Tenorite"/>
          <w:sz w:val="28"/>
          <w:szCs w:val="28"/>
        </w:rPr>
        <w:t>This is a modified 15 steps approach</w:t>
      </w:r>
    </w:p>
    <w:p w14:paraId="3E6CD187" w14:textId="77777777" w:rsidR="003002CA" w:rsidRPr="004F7DE5" w:rsidRDefault="003002CA" w:rsidP="003002CA">
      <w:pPr>
        <w:numPr>
          <w:ilvl w:val="1"/>
          <w:numId w:val="4"/>
        </w:numPr>
        <w:spacing w:line="259" w:lineRule="auto"/>
        <w:contextualSpacing/>
        <w:rPr>
          <w:rFonts w:ascii="Tenorite" w:hAnsi="Tenorite"/>
          <w:sz w:val="28"/>
          <w:szCs w:val="28"/>
        </w:rPr>
      </w:pPr>
      <w:r w:rsidRPr="004F7DE5">
        <w:rPr>
          <w:rFonts w:ascii="Tenorite" w:hAnsi="Tenorite"/>
          <w:sz w:val="28"/>
          <w:szCs w:val="28"/>
        </w:rPr>
        <w:t>That it is a good methodology in conjunction with the other workstreams</w:t>
      </w:r>
    </w:p>
    <w:p w14:paraId="6FAF0F37" w14:textId="77777777" w:rsidR="003002CA" w:rsidRPr="004F7DE5" w:rsidRDefault="003002CA" w:rsidP="003002CA">
      <w:pPr>
        <w:numPr>
          <w:ilvl w:val="1"/>
          <w:numId w:val="4"/>
        </w:numPr>
        <w:spacing w:line="259" w:lineRule="auto"/>
        <w:contextualSpacing/>
        <w:rPr>
          <w:rFonts w:ascii="Tenorite" w:hAnsi="Tenorite"/>
          <w:sz w:val="28"/>
          <w:szCs w:val="28"/>
        </w:rPr>
      </w:pPr>
      <w:r w:rsidRPr="004F7DE5">
        <w:rPr>
          <w:rFonts w:ascii="Tenorite" w:hAnsi="Tenorite"/>
          <w:sz w:val="28"/>
          <w:szCs w:val="28"/>
        </w:rPr>
        <w:t>It will provide the panel with themes that will feed into the recommendations of the assessment.  It will yield important and valuable insights.</w:t>
      </w:r>
    </w:p>
    <w:p w14:paraId="29E7B5C1" w14:textId="77777777" w:rsidR="003002CA" w:rsidRPr="004F7DE5" w:rsidRDefault="003002CA" w:rsidP="003002CA">
      <w:pPr>
        <w:numPr>
          <w:ilvl w:val="1"/>
          <w:numId w:val="4"/>
        </w:numPr>
        <w:spacing w:line="259" w:lineRule="auto"/>
        <w:contextualSpacing/>
        <w:rPr>
          <w:rFonts w:ascii="Tenorite" w:hAnsi="Tenorite"/>
          <w:sz w:val="28"/>
          <w:szCs w:val="28"/>
        </w:rPr>
      </w:pPr>
      <w:r w:rsidRPr="004F7DE5">
        <w:rPr>
          <w:rFonts w:ascii="Tenorite" w:hAnsi="Tenorite"/>
          <w:sz w:val="28"/>
          <w:szCs w:val="28"/>
        </w:rPr>
        <w:t xml:space="preserve">It is part of building up a picture of maternity and neonatal services for the assessment, it is not a workstream in isolation.  </w:t>
      </w:r>
    </w:p>
    <w:p w14:paraId="393481DC" w14:textId="77777777" w:rsidR="003002CA" w:rsidRPr="004F7DE5" w:rsidRDefault="003002CA" w:rsidP="003002CA">
      <w:pPr>
        <w:numPr>
          <w:ilvl w:val="1"/>
          <w:numId w:val="4"/>
        </w:numPr>
        <w:spacing w:line="259" w:lineRule="auto"/>
        <w:contextualSpacing/>
        <w:rPr>
          <w:rFonts w:ascii="Tenorite" w:hAnsi="Tenorite"/>
          <w:sz w:val="28"/>
          <w:szCs w:val="28"/>
        </w:rPr>
      </w:pPr>
      <w:r w:rsidRPr="004F7DE5">
        <w:rPr>
          <w:rFonts w:ascii="Tenorite" w:hAnsi="Tenorite"/>
          <w:sz w:val="28"/>
          <w:szCs w:val="28"/>
        </w:rPr>
        <w:t>The panel decided to reconvene on 27 October to sign off the 15 steps approach.</w:t>
      </w:r>
    </w:p>
    <w:p w14:paraId="2E66991C" w14:textId="77777777" w:rsidR="003002CA" w:rsidRPr="004F7DE5" w:rsidRDefault="003002CA" w:rsidP="003002CA">
      <w:pPr>
        <w:numPr>
          <w:ilvl w:val="0"/>
          <w:numId w:val="4"/>
        </w:numPr>
        <w:spacing w:line="259" w:lineRule="auto"/>
        <w:contextualSpacing/>
        <w:rPr>
          <w:rFonts w:ascii="Tenorite" w:hAnsi="Tenorite"/>
          <w:sz w:val="28"/>
          <w:szCs w:val="28"/>
        </w:rPr>
      </w:pPr>
      <w:r w:rsidRPr="004F7DE5">
        <w:rPr>
          <w:rFonts w:ascii="Tenorite" w:hAnsi="Tenorite"/>
          <w:sz w:val="28"/>
          <w:szCs w:val="28"/>
        </w:rPr>
        <w:t>The panel were informed the first stakeholder panel would be held on Wednesday (22 October).  Stakeholders from various organisations, charities, professional bodies and peer groups have accepted the invitation to join the meetings.  It was decided that there would be a further two meetings, one in mid-November and the final one in early December.</w:t>
      </w:r>
    </w:p>
    <w:p w14:paraId="310C85E3" w14:textId="77777777" w:rsidR="003002CA" w:rsidRPr="004F7DE5" w:rsidRDefault="003002CA" w:rsidP="003002CA">
      <w:pPr>
        <w:spacing w:line="259" w:lineRule="auto"/>
        <w:rPr>
          <w:rFonts w:ascii="Tenorite" w:hAnsi="Tenorite"/>
          <w:sz w:val="28"/>
          <w:szCs w:val="28"/>
        </w:rPr>
      </w:pPr>
      <w:r w:rsidRPr="004F7DE5">
        <w:rPr>
          <w:rFonts w:ascii="Tenorite" w:hAnsi="Tenorite"/>
          <w:sz w:val="28"/>
          <w:szCs w:val="28"/>
        </w:rPr>
        <w:t>There will be an informal panel meeting to discuss site visits and the 15 steps on 27 October 2025.</w:t>
      </w:r>
    </w:p>
    <w:p w14:paraId="3BCD59D8" w14:textId="1E13DBCB" w:rsidR="00B036AD" w:rsidRPr="004F7DE5" w:rsidRDefault="003002CA" w:rsidP="003002CA">
      <w:pPr>
        <w:spacing w:line="259" w:lineRule="auto"/>
        <w:rPr>
          <w:rFonts w:ascii="Tenorite" w:hAnsi="Tenorite"/>
          <w:sz w:val="28"/>
          <w:szCs w:val="28"/>
        </w:rPr>
      </w:pPr>
      <w:r w:rsidRPr="004F7DE5">
        <w:rPr>
          <w:rFonts w:ascii="Tenorite" w:hAnsi="Tenorite"/>
          <w:sz w:val="28"/>
          <w:szCs w:val="28"/>
        </w:rPr>
        <w:t>The next formal panel meeting will be held on 3 November 2025.</w:t>
      </w:r>
    </w:p>
    <w:sectPr w:rsidR="00B036AD" w:rsidRPr="004F7DE5" w:rsidSect="009757C8">
      <w:headerReference w:type="firs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6B51F" w14:textId="77777777" w:rsidR="008440FB" w:rsidRDefault="008440FB">
      <w:pPr>
        <w:spacing w:after="0" w:line="240" w:lineRule="auto"/>
      </w:pPr>
      <w:r>
        <w:separator/>
      </w:r>
    </w:p>
  </w:endnote>
  <w:endnote w:type="continuationSeparator" w:id="0">
    <w:p w14:paraId="5CDD2AD9" w14:textId="77777777" w:rsidR="008440FB" w:rsidRDefault="008440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enorite">
    <w:charset w:val="00"/>
    <w:family w:val="auto"/>
    <w:pitch w:val="variable"/>
    <w:sig w:usb0="80000003" w:usb1="00000001" w:usb2="00000000" w:usb3="00000000" w:csb0="00000001" w:csb1="00000000"/>
  </w:font>
  <w:font w:name="Frutiger">
    <w:panose1 w:val="020B0500000000000000"/>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4606C" w14:textId="77777777" w:rsidR="008440FB" w:rsidRDefault="008440FB">
      <w:pPr>
        <w:spacing w:after="0" w:line="240" w:lineRule="auto"/>
      </w:pPr>
      <w:r>
        <w:separator/>
      </w:r>
    </w:p>
  </w:footnote>
  <w:footnote w:type="continuationSeparator" w:id="0">
    <w:p w14:paraId="1BBB2A29" w14:textId="77777777" w:rsidR="008440FB" w:rsidRDefault="008440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9757C8" w14:paraId="631F0787" w14:textId="77777777" w:rsidTr="00A37F17">
      <w:tc>
        <w:tcPr>
          <w:tcW w:w="4508" w:type="dxa"/>
          <w:hideMark/>
        </w:tcPr>
        <w:p w14:paraId="3CC10877" w14:textId="77777777" w:rsidR="009757C8" w:rsidRPr="00E96AC3" w:rsidRDefault="009757C8" w:rsidP="001D37C5">
          <w:pPr>
            <w:rPr>
              <w:rFonts w:ascii="Frutiger" w:hAnsi="Frutiger" w:cs="Arial"/>
              <w:b/>
              <w:bCs/>
              <w:color w:val="002060"/>
              <w:sz w:val="28"/>
              <w:szCs w:val="28"/>
            </w:rPr>
          </w:pPr>
          <w:r w:rsidRPr="00E96AC3">
            <w:rPr>
              <w:rFonts w:ascii="Frutiger" w:hAnsi="Frutiger" w:cs="Arial"/>
              <w:b/>
              <w:bCs/>
              <w:color w:val="002060"/>
              <w:sz w:val="28"/>
              <w:szCs w:val="28"/>
            </w:rPr>
            <w:t xml:space="preserve">Maternity and Neonatal National Assurance Assessment </w:t>
          </w:r>
        </w:p>
        <w:p w14:paraId="546EA1DC" w14:textId="77777777" w:rsidR="009757C8" w:rsidRDefault="009757C8" w:rsidP="00E96AC3">
          <w:pPr>
            <w:rPr>
              <w:rFonts w:ascii="Frutiger" w:eastAsia="Aptos" w:hAnsi="Frutiger" w:cs="Times New Roman"/>
              <w:sz w:val="22"/>
              <w:szCs w:val="22"/>
            </w:rPr>
          </w:pPr>
          <w:hyperlink r:id="rId1" w:history="1">
            <w:r w:rsidRPr="00DC7FB0">
              <w:rPr>
                <w:rStyle w:val="Hyperlink"/>
                <w:rFonts w:ascii="Frutiger" w:eastAsia="Aptos" w:hAnsi="Frutiger" w:cs="Times New Roman"/>
                <w:sz w:val="22"/>
                <w:szCs w:val="22"/>
              </w:rPr>
              <w:t>NHSPI.NMNAA@wales.nhs.uk</w:t>
            </w:r>
          </w:hyperlink>
        </w:p>
        <w:p w14:paraId="33444C97" w14:textId="77777777" w:rsidR="009757C8" w:rsidRDefault="009757C8" w:rsidP="00E96AC3">
          <w:pPr>
            <w:rPr>
              <w:rFonts w:ascii="Frutiger" w:hAnsi="Frutiger" w:cs="Arial"/>
              <w:color w:val="0070C0"/>
              <w:sz w:val="22"/>
              <w:szCs w:val="22"/>
            </w:rPr>
          </w:pPr>
          <w:hyperlink r:id="rId2" w:history="1">
            <w:r w:rsidRPr="00DC7FB0">
              <w:rPr>
                <w:rStyle w:val="Hyperlink"/>
                <w:rFonts w:ascii="Frutiger" w:hAnsi="Frutiger" w:cs="Arial"/>
                <w:sz w:val="22"/>
                <w:szCs w:val="22"/>
              </w:rPr>
              <w:t>PGGIG.ASMNC@wales.nhs.uk</w:t>
            </w:r>
          </w:hyperlink>
        </w:p>
        <w:p w14:paraId="5E3B0443" w14:textId="77777777" w:rsidR="009757C8" w:rsidRPr="00E96AC3" w:rsidRDefault="009757C8" w:rsidP="00E96AC3">
          <w:pPr>
            <w:rPr>
              <w:rFonts w:ascii="Frutiger" w:hAnsi="Frutiger" w:cs="Arial"/>
              <w:color w:val="0070C0"/>
              <w:sz w:val="22"/>
              <w:szCs w:val="22"/>
            </w:rPr>
          </w:pPr>
        </w:p>
      </w:tc>
      <w:tc>
        <w:tcPr>
          <w:tcW w:w="4508" w:type="dxa"/>
          <w:hideMark/>
        </w:tcPr>
        <w:p w14:paraId="191F5C27" w14:textId="77777777" w:rsidR="009757C8" w:rsidRDefault="009757C8" w:rsidP="001D37C5">
          <w:pPr>
            <w:jc w:val="right"/>
            <w:rPr>
              <w:rFonts w:cs="Arial"/>
              <w:b/>
              <w:bCs/>
              <w:color w:val="0070C0"/>
              <w:sz w:val="22"/>
              <w:szCs w:val="22"/>
            </w:rPr>
          </w:pPr>
          <w:r>
            <w:rPr>
              <w:noProof/>
            </w:rPr>
            <w:drawing>
              <wp:inline distT="0" distB="0" distL="0" distR="0" wp14:anchorId="0B7264D0" wp14:editId="3E9239A2">
                <wp:extent cx="1504950" cy="825500"/>
                <wp:effectExtent l="0" t="0" r="0" b="0"/>
                <wp:docPr id="1286085178" name="Picture 1" descr="A logo with blue and gold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ogo with blue and gold colors&#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04950" cy="825500"/>
                        </a:xfrm>
                        <a:prstGeom prst="rect">
                          <a:avLst/>
                        </a:prstGeom>
                        <a:noFill/>
                        <a:ln>
                          <a:noFill/>
                        </a:ln>
                      </pic:spPr>
                    </pic:pic>
                  </a:graphicData>
                </a:graphic>
              </wp:inline>
            </w:drawing>
          </w:r>
        </w:p>
      </w:tc>
    </w:tr>
  </w:tbl>
  <w:p w14:paraId="3870AB32" w14:textId="77777777" w:rsidR="009757C8" w:rsidRDefault="009757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64278B"/>
    <w:multiLevelType w:val="hybridMultilevel"/>
    <w:tmpl w:val="70EED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E076F9"/>
    <w:multiLevelType w:val="hybridMultilevel"/>
    <w:tmpl w:val="800AA146"/>
    <w:lvl w:ilvl="0" w:tplc="08090001">
      <w:start w:val="1"/>
      <w:numFmt w:val="bullet"/>
      <w:lvlText w:val=""/>
      <w:lvlJc w:val="left"/>
      <w:pPr>
        <w:ind w:left="1220" w:hanging="360"/>
      </w:pPr>
      <w:rPr>
        <w:rFonts w:ascii="Symbol" w:hAnsi="Symbol" w:hint="default"/>
        <w:b/>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2" w15:restartNumberingAfterBreak="0">
    <w:nsid w:val="57372882"/>
    <w:multiLevelType w:val="hybridMultilevel"/>
    <w:tmpl w:val="66FC38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CE501C"/>
    <w:multiLevelType w:val="hybridMultilevel"/>
    <w:tmpl w:val="50F645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400517466">
    <w:abstractNumId w:val="1"/>
  </w:num>
  <w:num w:numId="2" w16cid:durableId="2004432663">
    <w:abstractNumId w:val="3"/>
  </w:num>
  <w:num w:numId="3" w16cid:durableId="512450523">
    <w:abstractNumId w:val="0"/>
  </w:num>
  <w:num w:numId="4" w16cid:durableId="11179148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C8"/>
    <w:rsid w:val="00053E2E"/>
    <w:rsid w:val="00120F7B"/>
    <w:rsid w:val="001A34BD"/>
    <w:rsid w:val="00257001"/>
    <w:rsid w:val="003002CA"/>
    <w:rsid w:val="004F7DE5"/>
    <w:rsid w:val="006A7042"/>
    <w:rsid w:val="0072654B"/>
    <w:rsid w:val="00751BD6"/>
    <w:rsid w:val="007F3284"/>
    <w:rsid w:val="008440FB"/>
    <w:rsid w:val="009757C8"/>
    <w:rsid w:val="00B036AD"/>
    <w:rsid w:val="00B12389"/>
    <w:rsid w:val="00B14C6C"/>
    <w:rsid w:val="00B631CE"/>
    <w:rsid w:val="00BD4A02"/>
    <w:rsid w:val="00C63B9C"/>
    <w:rsid w:val="00E178CA"/>
    <w:rsid w:val="00FA14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58F48"/>
  <w15:chartTrackingRefBased/>
  <w15:docId w15:val="{D1ECFE3A-9B84-466B-86FB-C7BC89EF6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7C8"/>
    <w:pPr>
      <w:spacing w:line="278" w:lineRule="auto"/>
    </w:pPr>
    <w:rPr>
      <w:rFonts w:ascii="Arial" w:hAnsi="Arial"/>
      <w:sz w:val="24"/>
      <w:szCs w:val="24"/>
    </w:rPr>
  </w:style>
  <w:style w:type="paragraph" w:styleId="Heading1">
    <w:name w:val="heading 1"/>
    <w:basedOn w:val="Normal"/>
    <w:next w:val="Normal"/>
    <w:link w:val="Heading1Char"/>
    <w:uiPriority w:val="9"/>
    <w:qFormat/>
    <w:rsid w:val="009757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7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7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7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7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7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7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7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7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7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7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7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7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7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7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7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7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7C8"/>
    <w:rPr>
      <w:rFonts w:eastAsiaTheme="majorEastAsia" w:cstheme="majorBidi"/>
      <w:color w:val="272727" w:themeColor="text1" w:themeTint="D8"/>
    </w:rPr>
  </w:style>
  <w:style w:type="paragraph" w:styleId="Title">
    <w:name w:val="Title"/>
    <w:basedOn w:val="Normal"/>
    <w:next w:val="Normal"/>
    <w:link w:val="TitleChar"/>
    <w:uiPriority w:val="10"/>
    <w:qFormat/>
    <w:rsid w:val="009757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7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7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7C8"/>
    <w:pPr>
      <w:spacing w:before="160"/>
      <w:jc w:val="center"/>
    </w:pPr>
    <w:rPr>
      <w:i/>
      <w:iCs/>
      <w:color w:val="404040" w:themeColor="text1" w:themeTint="BF"/>
    </w:rPr>
  </w:style>
  <w:style w:type="character" w:customStyle="1" w:styleId="QuoteChar">
    <w:name w:val="Quote Char"/>
    <w:basedOn w:val="DefaultParagraphFont"/>
    <w:link w:val="Quote"/>
    <w:uiPriority w:val="29"/>
    <w:rsid w:val="009757C8"/>
    <w:rPr>
      <w:i/>
      <w:iCs/>
      <w:color w:val="404040" w:themeColor="text1" w:themeTint="BF"/>
    </w:rPr>
  </w:style>
  <w:style w:type="paragraph" w:styleId="ListParagraph">
    <w:name w:val="List Paragraph"/>
    <w:basedOn w:val="Normal"/>
    <w:uiPriority w:val="34"/>
    <w:qFormat/>
    <w:rsid w:val="009757C8"/>
    <w:pPr>
      <w:ind w:left="720"/>
      <w:contextualSpacing/>
    </w:pPr>
  </w:style>
  <w:style w:type="character" w:styleId="IntenseEmphasis">
    <w:name w:val="Intense Emphasis"/>
    <w:basedOn w:val="DefaultParagraphFont"/>
    <w:uiPriority w:val="21"/>
    <w:qFormat/>
    <w:rsid w:val="009757C8"/>
    <w:rPr>
      <w:i/>
      <w:iCs/>
      <w:color w:val="0F4761" w:themeColor="accent1" w:themeShade="BF"/>
    </w:rPr>
  </w:style>
  <w:style w:type="paragraph" w:styleId="IntenseQuote">
    <w:name w:val="Intense Quote"/>
    <w:basedOn w:val="Normal"/>
    <w:next w:val="Normal"/>
    <w:link w:val="IntenseQuoteChar"/>
    <w:uiPriority w:val="30"/>
    <w:qFormat/>
    <w:rsid w:val="009757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7C8"/>
    <w:rPr>
      <w:i/>
      <w:iCs/>
      <w:color w:val="0F4761" w:themeColor="accent1" w:themeShade="BF"/>
    </w:rPr>
  </w:style>
  <w:style w:type="character" w:styleId="IntenseReference">
    <w:name w:val="Intense Reference"/>
    <w:basedOn w:val="DefaultParagraphFont"/>
    <w:uiPriority w:val="32"/>
    <w:qFormat/>
    <w:rsid w:val="009757C8"/>
    <w:rPr>
      <w:b/>
      <w:bCs/>
      <w:smallCaps/>
      <w:color w:val="0F4761" w:themeColor="accent1" w:themeShade="BF"/>
      <w:spacing w:val="5"/>
    </w:rPr>
  </w:style>
  <w:style w:type="paragraph" w:styleId="Header">
    <w:name w:val="header"/>
    <w:basedOn w:val="Normal"/>
    <w:link w:val="HeaderChar"/>
    <w:uiPriority w:val="99"/>
    <w:unhideWhenUsed/>
    <w:rsid w:val="009757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C8"/>
    <w:rPr>
      <w:rFonts w:ascii="Arial" w:hAnsi="Arial"/>
      <w:sz w:val="24"/>
      <w:szCs w:val="24"/>
    </w:rPr>
  </w:style>
  <w:style w:type="character" w:styleId="Hyperlink">
    <w:name w:val="Hyperlink"/>
    <w:basedOn w:val="DefaultParagraphFont"/>
    <w:uiPriority w:val="99"/>
    <w:unhideWhenUsed/>
    <w:rsid w:val="009757C8"/>
    <w:rPr>
      <w:color w:val="467886" w:themeColor="hyperlink"/>
      <w:u w:val="single"/>
    </w:rPr>
  </w:style>
  <w:style w:type="table" w:styleId="TableGrid">
    <w:name w:val="Table Grid"/>
    <w:basedOn w:val="TableNormal"/>
    <w:uiPriority w:val="39"/>
    <w:rsid w:val="009757C8"/>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mailto:PGGIG.ASMNC@wales.nhs.uk" TargetMode="External"/><Relationship Id="rId1" Type="http://schemas.openxmlformats.org/officeDocument/2006/relationships/hyperlink" Target="mailto:NHSPI.NMNAA@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292</Words>
  <Characters>1460</Characters>
  <Application>Microsoft Office Word</Application>
  <DocSecurity>0</DocSecurity>
  <Lines>33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Setter (NHS Wales Performance and Improvement)</dc:creator>
  <cp:keywords/>
  <dc:description/>
  <cp:lastModifiedBy>Gareth Setter (NHS Wales Performance and Improvement)</cp:lastModifiedBy>
  <cp:revision>5</cp:revision>
  <dcterms:created xsi:type="dcterms:W3CDTF">2025-12-02T12:29:00Z</dcterms:created>
  <dcterms:modified xsi:type="dcterms:W3CDTF">2025-12-02T12:32:00Z</dcterms:modified>
</cp:coreProperties>
</file>